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5D9" w:rsidRDefault="004705D9" w:rsidP="009F017F">
      <w:pPr>
        <w:pStyle w:val="Heading1"/>
        <w:jc w:val="left"/>
        <w:rPr>
          <w:rFonts w:ascii="Calibri" w:hAnsi="Calibri"/>
          <w:sz w:val="72"/>
          <w:szCs w:val="72"/>
        </w:rPr>
      </w:pPr>
    </w:p>
    <w:p w:rsidR="005A3E47" w:rsidRPr="004705D9" w:rsidRDefault="004705D9" w:rsidP="009F017F">
      <w:pPr>
        <w:pStyle w:val="HelpTopic"/>
        <w:spacing w:before="0" w:after="0"/>
        <w:jc w:val="center"/>
        <w:rPr>
          <w:sz w:val="72"/>
          <w:szCs w:val="72"/>
        </w:rPr>
      </w:pPr>
      <w:r w:rsidRPr="004705D9">
        <w:rPr>
          <w:sz w:val="72"/>
          <w:szCs w:val="72"/>
        </w:rPr>
        <w:t>FY 2015 Start-Up</w:t>
      </w:r>
    </w:p>
    <w:p w:rsidR="005A3E47" w:rsidRPr="009F017F" w:rsidRDefault="004705D9" w:rsidP="009F017F">
      <w:pPr>
        <w:pStyle w:val="HelpTopic"/>
        <w:spacing w:before="0" w:after="0"/>
        <w:jc w:val="center"/>
        <w:rPr>
          <w:sz w:val="24"/>
          <w:szCs w:val="24"/>
        </w:rPr>
      </w:pPr>
      <w:r w:rsidRPr="004705D9">
        <w:rPr>
          <w:sz w:val="72"/>
          <w:szCs w:val="72"/>
        </w:rPr>
        <w:t>Budget Instructions</w:t>
      </w:r>
      <w:r w:rsidR="000D198D" w:rsidRPr="000D198D">
        <w:rPr>
          <w:rFonts w:asciiTheme="majorHAnsi" w:hAnsiTheme="majorHAnsi"/>
          <w:sz w:val="24"/>
          <w:szCs w:val="24"/>
        </w:rPr>
        <w:pict>
          <v:rect id="_x0000_i1025" style="width:468pt;height:1.5pt" o:hralign="center" o:hrstd="t" o:hr="t" fillcolor="#a0a0a0" stroked="f"/>
        </w:pict>
      </w:r>
    </w:p>
    <w:p w:rsidR="005A3E47" w:rsidRPr="009F017F" w:rsidRDefault="005A3E47" w:rsidP="009F017F">
      <w:pPr>
        <w:pStyle w:val="HelpTopic"/>
        <w:spacing w:before="0" w:after="0"/>
        <w:jc w:val="center"/>
        <w:rPr>
          <w:sz w:val="40"/>
          <w:szCs w:val="40"/>
        </w:rPr>
      </w:pPr>
    </w:p>
    <w:p w:rsidR="009F017F" w:rsidRPr="009F017F" w:rsidRDefault="009F017F" w:rsidP="009F017F">
      <w:pPr>
        <w:pStyle w:val="HelpTopic"/>
        <w:spacing w:before="0" w:after="0"/>
        <w:jc w:val="center"/>
        <w:rPr>
          <w:sz w:val="40"/>
          <w:szCs w:val="40"/>
        </w:rPr>
      </w:pPr>
    </w:p>
    <w:p w:rsidR="009F017F" w:rsidRDefault="009F017F" w:rsidP="009F017F">
      <w:pPr>
        <w:pStyle w:val="HelpTopic"/>
        <w:spacing w:before="0" w:after="0"/>
        <w:jc w:val="center"/>
        <w:rPr>
          <w:sz w:val="40"/>
          <w:szCs w:val="40"/>
        </w:rPr>
      </w:pPr>
    </w:p>
    <w:p w:rsidR="009F017F" w:rsidRPr="009F017F" w:rsidRDefault="009F017F" w:rsidP="009F017F">
      <w:pPr>
        <w:pStyle w:val="HelpTopic"/>
        <w:spacing w:before="0" w:after="0"/>
        <w:jc w:val="center"/>
        <w:rPr>
          <w:sz w:val="56"/>
          <w:szCs w:val="56"/>
        </w:rPr>
      </w:pPr>
    </w:p>
    <w:p w:rsidR="005A3E47" w:rsidRPr="009F017F" w:rsidRDefault="00BB43ED" w:rsidP="009F017F">
      <w:pPr>
        <w:pStyle w:val="HelpTopic"/>
        <w:spacing w:before="0" w:after="0"/>
        <w:jc w:val="center"/>
        <w:rPr>
          <w:sz w:val="72"/>
          <w:szCs w:val="72"/>
        </w:rPr>
      </w:pPr>
      <w:r>
        <w:rPr>
          <w:noProof/>
          <w:sz w:val="72"/>
          <w:szCs w:val="72"/>
        </w:rPr>
        <w:drawing>
          <wp:inline distT="0" distB="0" distL="0" distR="0">
            <wp:extent cx="787400" cy="669925"/>
            <wp:effectExtent l="19050" t="0" r="0" b="0"/>
            <wp:docPr id="2"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 cstate="print"/>
                    <a:srcRect/>
                    <a:stretch>
                      <a:fillRect/>
                    </a:stretch>
                  </pic:blipFill>
                  <pic:spPr bwMode="auto">
                    <a:xfrm>
                      <a:off x="0" y="0"/>
                      <a:ext cx="787400" cy="669925"/>
                    </a:xfrm>
                    <a:prstGeom prst="rect">
                      <a:avLst/>
                    </a:prstGeom>
                    <a:noFill/>
                    <a:ln w="9525">
                      <a:noFill/>
                      <a:miter lim="800000"/>
                      <a:headEnd/>
                      <a:tailEnd/>
                    </a:ln>
                  </pic:spPr>
                </pic:pic>
              </a:graphicData>
            </a:graphic>
          </wp:inline>
        </w:drawing>
      </w:r>
    </w:p>
    <w:p w:rsidR="009F017F" w:rsidRPr="009F017F" w:rsidRDefault="009F017F" w:rsidP="009F017F">
      <w:pPr>
        <w:pStyle w:val="HelpTopic"/>
        <w:spacing w:before="0" w:after="0"/>
        <w:jc w:val="center"/>
        <w:rPr>
          <w:sz w:val="72"/>
          <w:szCs w:val="72"/>
        </w:rPr>
      </w:pPr>
    </w:p>
    <w:p w:rsidR="005A3E47" w:rsidRPr="009F017F" w:rsidRDefault="005A3E47" w:rsidP="009F017F">
      <w:pPr>
        <w:pStyle w:val="HelpTopic"/>
        <w:spacing w:before="0" w:after="0"/>
        <w:jc w:val="center"/>
        <w:rPr>
          <w:sz w:val="48"/>
          <w:szCs w:val="48"/>
        </w:rPr>
      </w:pPr>
      <w:r w:rsidRPr="009F017F">
        <w:rPr>
          <w:sz w:val="48"/>
          <w:szCs w:val="48"/>
        </w:rPr>
        <w:t>Virginia Department of</w:t>
      </w:r>
    </w:p>
    <w:p w:rsidR="00920AE2" w:rsidRPr="009F017F" w:rsidRDefault="005A3E47" w:rsidP="009F017F">
      <w:pPr>
        <w:pStyle w:val="HelpTopic"/>
        <w:spacing w:before="0" w:after="0"/>
        <w:jc w:val="center"/>
        <w:rPr>
          <w:sz w:val="48"/>
          <w:szCs w:val="48"/>
        </w:rPr>
      </w:pPr>
      <w:r w:rsidRPr="009F017F">
        <w:rPr>
          <w:sz w:val="48"/>
          <w:szCs w:val="48"/>
        </w:rPr>
        <w:t>Planning and Budget</w:t>
      </w:r>
    </w:p>
    <w:p w:rsidR="00920AE2" w:rsidRPr="009F017F" w:rsidRDefault="00920AE2" w:rsidP="009F017F">
      <w:pPr>
        <w:pStyle w:val="HelpTopic"/>
        <w:spacing w:before="0" w:after="0"/>
        <w:jc w:val="center"/>
        <w:rPr>
          <w:sz w:val="48"/>
          <w:szCs w:val="48"/>
        </w:rPr>
      </w:pPr>
    </w:p>
    <w:p w:rsidR="009F017F" w:rsidRDefault="009C2ACE" w:rsidP="009F017F">
      <w:pPr>
        <w:pStyle w:val="HelpTopic"/>
        <w:spacing w:before="0" w:after="0"/>
        <w:jc w:val="center"/>
        <w:rPr>
          <w:sz w:val="40"/>
          <w:szCs w:val="40"/>
        </w:rPr>
      </w:pPr>
      <w:r w:rsidRPr="00843D9E">
        <w:rPr>
          <w:sz w:val="40"/>
          <w:szCs w:val="40"/>
        </w:rPr>
        <w:t>June</w:t>
      </w:r>
      <w:r w:rsidR="00EB48D3" w:rsidRPr="009F017F">
        <w:rPr>
          <w:sz w:val="40"/>
          <w:szCs w:val="40"/>
        </w:rPr>
        <w:t xml:space="preserve"> 2014</w:t>
      </w:r>
    </w:p>
    <w:p w:rsidR="00E46058" w:rsidRPr="009F017F" w:rsidRDefault="00053EBC" w:rsidP="009F017F">
      <w:pPr>
        <w:pStyle w:val="HelpTopic"/>
        <w:spacing w:before="0" w:after="0"/>
        <w:jc w:val="center"/>
        <w:rPr>
          <w:sz w:val="40"/>
          <w:szCs w:val="40"/>
        </w:rPr>
        <w:sectPr w:rsidR="00E46058" w:rsidRPr="009F017F" w:rsidSect="004705D9">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26"/>
        </w:sectPr>
      </w:pPr>
      <w:r w:rsidRPr="009F017F">
        <w:rPr>
          <w:sz w:val="40"/>
          <w:szCs w:val="40"/>
        </w:rPr>
        <w:tab/>
      </w:r>
    </w:p>
    <w:p w:rsidR="005A3E47" w:rsidRPr="00341238" w:rsidRDefault="005A3E47">
      <w:pPr>
        <w:pStyle w:val="BodyText3"/>
        <w:jc w:val="center"/>
        <w:rPr>
          <w:rFonts w:ascii="Calibri" w:hAnsi="Calibri" w:cs="Arial"/>
          <w:sz w:val="40"/>
          <w:szCs w:val="40"/>
        </w:rPr>
      </w:pPr>
      <w:r w:rsidRPr="00341238">
        <w:rPr>
          <w:rFonts w:ascii="Calibri" w:hAnsi="Calibri" w:cs="Arial"/>
          <w:sz w:val="40"/>
          <w:szCs w:val="40"/>
        </w:rPr>
        <w:lastRenderedPageBreak/>
        <w:t>Table of Contents</w:t>
      </w:r>
    </w:p>
    <w:p w:rsidR="002A6AEC" w:rsidRPr="004B1A89" w:rsidRDefault="002A6AEC">
      <w:pPr>
        <w:pStyle w:val="BodyText3"/>
        <w:jc w:val="center"/>
        <w:rPr>
          <w:rFonts w:ascii="Calibri" w:hAnsi="Calibri"/>
          <w:sz w:val="16"/>
          <w:szCs w:val="16"/>
        </w:rPr>
      </w:pPr>
    </w:p>
    <w:p w:rsidR="002A6AEC" w:rsidRPr="004B1A89" w:rsidRDefault="002A6AEC">
      <w:pPr>
        <w:pStyle w:val="BodyText3"/>
        <w:jc w:val="center"/>
        <w:rPr>
          <w:rFonts w:ascii="Calibri" w:hAnsi="Calibri"/>
          <w:sz w:val="16"/>
          <w:szCs w:val="16"/>
        </w:rPr>
      </w:pPr>
    </w:p>
    <w:p w:rsidR="00F332AC" w:rsidRPr="00341238" w:rsidRDefault="000D198D" w:rsidP="004D00F6">
      <w:pPr>
        <w:pStyle w:val="TOC1"/>
        <w:rPr>
          <w:rStyle w:val="Hyperlink"/>
          <w:rFonts w:ascii="Calibri" w:hAnsi="Calibri"/>
        </w:rPr>
      </w:pPr>
      <w:r w:rsidRPr="000D198D">
        <w:rPr>
          <w:rFonts w:ascii="Calibri" w:hAnsi="Calibri"/>
        </w:rPr>
        <w:fldChar w:fldCharType="begin"/>
      </w:r>
      <w:r w:rsidR="005A3E47" w:rsidRPr="00341238">
        <w:rPr>
          <w:rFonts w:ascii="Calibri" w:hAnsi="Calibri"/>
        </w:rPr>
        <w:instrText xml:space="preserve"> TOC \o "1-2" \h \z </w:instrText>
      </w:r>
      <w:r w:rsidRPr="000D198D">
        <w:rPr>
          <w:rFonts w:ascii="Calibri" w:hAnsi="Calibri"/>
        </w:rPr>
        <w:fldChar w:fldCharType="separate"/>
      </w:r>
      <w:hyperlink w:anchor="_Toc102895203" w:history="1">
        <w:r w:rsidR="00653A9D" w:rsidRPr="00341238">
          <w:rPr>
            <w:rStyle w:val="Hyperlink"/>
            <w:rFonts w:ascii="Calibri" w:hAnsi="Calibri"/>
          </w:rPr>
          <w:t>Overview</w:t>
        </w:r>
        <w:r w:rsidR="005A3E47" w:rsidRPr="00341238">
          <w:rPr>
            <w:rFonts w:ascii="Calibri" w:hAnsi="Calibri"/>
            <w:webHidden/>
          </w:rPr>
          <w:tab/>
        </w:r>
        <w:r w:rsidR="00673C9D" w:rsidRPr="00341238">
          <w:rPr>
            <w:rFonts w:ascii="Calibri" w:hAnsi="Calibri"/>
            <w:webHidden/>
          </w:rPr>
          <w:t>1</w:t>
        </w:r>
      </w:hyperlink>
      <w:r w:rsidR="00653A9D" w:rsidRPr="00341238">
        <w:br/>
      </w:r>
    </w:p>
    <w:p w:rsidR="00653A9D" w:rsidRPr="00341238" w:rsidRDefault="000D198D" w:rsidP="00653A9D">
      <w:pPr>
        <w:pStyle w:val="TOC2"/>
        <w:rPr>
          <w:rStyle w:val="Hyperlink"/>
          <w:rFonts w:ascii="Calibri" w:hAnsi="Calibri"/>
          <w:color w:val="auto"/>
          <w:u w:val="none"/>
        </w:rPr>
      </w:pPr>
      <w:hyperlink w:anchor="_Toc102895207" w:history="1">
        <w:r w:rsidR="00653A9D" w:rsidRPr="00341238">
          <w:rPr>
            <w:rStyle w:val="Hyperlink"/>
            <w:rFonts w:ascii="Calibri" w:hAnsi="Calibri"/>
            <w:color w:val="auto"/>
            <w:u w:val="none"/>
          </w:rPr>
          <w:t>About these new year start-up instructions</w:t>
        </w:r>
        <w:r w:rsidR="00653A9D" w:rsidRPr="00341238">
          <w:rPr>
            <w:rStyle w:val="Hyperlink"/>
            <w:rFonts w:ascii="Calibri" w:hAnsi="Calibri"/>
            <w:webHidden/>
            <w:color w:val="auto"/>
            <w:u w:val="none"/>
          </w:rPr>
          <w:tab/>
          <w:t>…...1</w:t>
        </w:r>
      </w:hyperlink>
    </w:p>
    <w:p w:rsidR="00653A9D" w:rsidRPr="00341238" w:rsidRDefault="000D198D" w:rsidP="00653A9D">
      <w:pPr>
        <w:pStyle w:val="TOC2"/>
        <w:rPr>
          <w:rStyle w:val="Hyperlink"/>
          <w:rFonts w:ascii="Calibri" w:hAnsi="Calibri"/>
          <w:color w:val="auto"/>
          <w:u w:val="none"/>
        </w:rPr>
      </w:pPr>
      <w:hyperlink w:anchor="_Toc102895208" w:history="1">
        <w:r w:rsidR="00653A9D" w:rsidRPr="00341238">
          <w:rPr>
            <w:rStyle w:val="Hyperlink"/>
            <w:rFonts w:ascii="Calibri" w:hAnsi="Calibri"/>
            <w:color w:val="auto"/>
            <w:u w:val="none"/>
          </w:rPr>
          <w:t>Budget execution new year start-up deadlines</w:t>
        </w:r>
        <w:r w:rsidR="00653A9D" w:rsidRPr="00341238">
          <w:rPr>
            <w:rStyle w:val="Hyperlink"/>
            <w:rFonts w:ascii="Calibri" w:hAnsi="Calibri"/>
            <w:webHidden/>
            <w:color w:val="auto"/>
            <w:u w:val="none"/>
          </w:rPr>
          <w:tab/>
        </w:r>
      </w:hyperlink>
      <w:r w:rsidR="00653A9D" w:rsidRPr="00BD5A46">
        <w:rPr>
          <w:rStyle w:val="Hyperlink"/>
          <w:rFonts w:ascii="Calibri" w:hAnsi="Calibri"/>
          <w:color w:val="auto"/>
          <w:u w:val="none"/>
        </w:rPr>
        <w:t>1</w:t>
      </w:r>
    </w:p>
    <w:p w:rsidR="00075F21" w:rsidRPr="00341238" w:rsidRDefault="00075F21" w:rsidP="00075F21">
      <w:pPr>
        <w:tabs>
          <w:tab w:val="left" w:leader="dot" w:pos="360"/>
          <w:tab w:val="left" w:leader="dot" w:pos="9720"/>
          <w:tab w:val="left" w:leader="dot" w:pos="10080"/>
        </w:tabs>
        <w:spacing w:after="0"/>
        <w:ind w:hanging="360"/>
        <w:rPr>
          <w:rStyle w:val="Hyperlink"/>
          <w:rFonts w:ascii="Calibri" w:hAnsi="Calibri"/>
          <w:noProof/>
          <w:color w:val="auto"/>
          <w:u w:val="none"/>
        </w:rPr>
      </w:pPr>
    </w:p>
    <w:p w:rsidR="00422962" w:rsidRPr="00341238" w:rsidRDefault="00422962" w:rsidP="00422962">
      <w:pPr>
        <w:tabs>
          <w:tab w:val="left" w:leader="dot" w:pos="360"/>
          <w:tab w:val="left" w:leader="dot" w:pos="9720"/>
          <w:tab w:val="left" w:leader="dot" w:pos="10080"/>
        </w:tabs>
        <w:spacing w:after="0"/>
        <w:ind w:hanging="360"/>
        <w:rPr>
          <w:rFonts w:ascii="Calibri" w:hAnsi="Calibri"/>
          <w:b/>
          <w:noProof/>
        </w:rPr>
      </w:pPr>
      <w:r w:rsidRPr="00341238">
        <w:rPr>
          <w:rFonts w:ascii="Calibri" w:hAnsi="Calibri"/>
          <w:b/>
          <w:bCs/>
          <w:noProof/>
        </w:rPr>
        <w:t>Deficits</w:t>
      </w:r>
      <w:r w:rsidRPr="00341238">
        <w:rPr>
          <w:rFonts w:ascii="Calibri" w:hAnsi="Calibri"/>
          <w:b/>
          <w:noProof/>
        </w:rPr>
        <w:tab/>
        <w:t xml:space="preserve"> </w:t>
      </w:r>
      <w:r w:rsidR="00BD2A2D" w:rsidRPr="00341238">
        <w:rPr>
          <w:rFonts w:ascii="Calibri" w:hAnsi="Calibri"/>
          <w:b/>
          <w:bCs/>
          <w:noProof/>
        </w:rPr>
        <w:t>2</w:t>
      </w:r>
    </w:p>
    <w:p w:rsidR="004B1A89" w:rsidRPr="00341238" w:rsidRDefault="004B1A89" w:rsidP="004B1A89">
      <w:pPr>
        <w:pStyle w:val="TOC1"/>
        <w:rPr>
          <w:rStyle w:val="Hyperlink"/>
          <w:rFonts w:ascii="Calibri" w:hAnsi="Calibri"/>
        </w:rPr>
      </w:pPr>
    </w:p>
    <w:p w:rsidR="004B1A89" w:rsidRPr="00341238" w:rsidRDefault="000D198D" w:rsidP="004B1A89">
      <w:pPr>
        <w:pStyle w:val="TOC2"/>
        <w:rPr>
          <w:rStyle w:val="Hyperlink"/>
          <w:rFonts w:ascii="Calibri" w:hAnsi="Calibri"/>
          <w:color w:val="auto"/>
          <w:u w:val="none"/>
        </w:rPr>
      </w:pPr>
      <w:hyperlink w:anchor="_Toc102895207" w:history="1">
        <w:r w:rsidR="004B1A89" w:rsidRPr="00341238">
          <w:rPr>
            <w:rStyle w:val="Hyperlink"/>
            <w:rFonts w:ascii="Calibri" w:hAnsi="Calibri"/>
            <w:color w:val="auto"/>
            <w:u w:val="none"/>
          </w:rPr>
          <w:t xml:space="preserve">About </w:t>
        </w:r>
        <w:r w:rsidR="004B1A89">
          <w:rPr>
            <w:rStyle w:val="Hyperlink"/>
            <w:rFonts w:ascii="Calibri" w:hAnsi="Calibri"/>
            <w:color w:val="auto"/>
            <w:u w:val="none"/>
          </w:rPr>
          <w:t>Section 4-3.01</w:t>
        </w:r>
        <w:r w:rsidR="004B1A89" w:rsidRPr="00341238">
          <w:rPr>
            <w:rStyle w:val="Hyperlink"/>
            <w:rFonts w:ascii="Calibri" w:hAnsi="Calibri"/>
            <w:webHidden/>
            <w:color w:val="auto"/>
            <w:u w:val="none"/>
          </w:rPr>
          <w:tab/>
          <w:t>…...</w:t>
        </w:r>
        <w:r w:rsidR="004B1A89">
          <w:rPr>
            <w:rStyle w:val="Hyperlink"/>
            <w:rFonts w:ascii="Calibri" w:hAnsi="Calibri"/>
            <w:webHidden/>
            <w:color w:val="auto"/>
            <w:u w:val="none"/>
          </w:rPr>
          <w:t>2</w:t>
        </w:r>
      </w:hyperlink>
    </w:p>
    <w:p w:rsidR="004B1A89" w:rsidRPr="00341238" w:rsidRDefault="000D198D" w:rsidP="004B1A89">
      <w:pPr>
        <w:pStyle w:val="TOC2"/>
        <w:rPr>
          <w:rStyle w:val="Hyperlink"/>
          <w:rFonts w:ascii="Calibri" w:hAnsi="Calibri"/>
          <w:color w:val="auto"/>
          <w:u w:val="none"/>
        </w:rPr>
      </w:pPr>
      <w:hyperlink w:anchor="_Toc102895208" w:history="1">
        <w:r w:rsidR="004B1A89">
          <w:rPr>
            <w:rStyle w:val="Hyperlink"/>
            <w:rFonts w:ascii="Calibri" w:hAnsi="Calibri"/>
            <w:color w:val="auto"/>
            <w:u w:val="none"/>
          </w:rPr>
          <w:t>Required Form</w:t>
        </w:r>
        <w:r w:rsidR="004B1A89" w:rsidRPr="00341238">
          <w:rPr>
            <w:rStyle w:val="Hyperlink"/>
            <w:rFonts w:ascii="Calibri" w:hAnsi="Calibri"/>
            <w:webHidden/>
            <w:color w:val="auto"/>
            <w:u w:val="none"/>
          </w:rPr>
          <w:tab/>
        </w:r>
      </w:hyperlink>
      <w:r w:rsidR="004B1A89">
        <w:t>2</w:t>
      </w:r>
    </w:p>
    <w:p w:rsidR="00422962" w:rsidRPr="00341238" w:rsidRDefault="00422962" w:rsidP="004B1A89">
      <w:pPr>
        <w:pStyle w:val="NormalAfter150pt"/>
        <w:ind w:left="0"/>
        <w:rPr>
          <w:rFonts w:ascii="Calibri" w:hAnsi="Calibri"/>
          <w:noProof/>
        </w:rPr>
      </w:pPr>
    </w:p>
    <w:p w:rsidR="005A3E47" w:rsidRPr="00341238" w:rsidRDefault="000D198D" w:rsidP="004D00F6">
      <w:pPr>
        <w:pStyle w:val="TOC1"/>
        <w:rPr>
          <w:rFonts w:ascii="Calibri" w:hAnsi="Calibri"/>
          <w:szCs w:val="24"/>
        </w:rPr>
      </w:pPr>
      <w:hyperlink w:anchor="_Toc102895206" w:history="1">
        <w:r w:rsidR="00C03140" w:rsidRPr="00341238">
          <w:rPr>
            <w:rStyle w:val="Hyperlink"/>
            <w:rFonts w:ascii="Calibri" w:hAnsi="Calibri"/>
          </w:rPr>
          <w:t xml:space="preserve">FY </w:t>
        </w:r>
        <w:r w:rsidR="00570627" w:rsidRPr="00341238">
          <w:rPr>
            <w:rStyle w:val="Hyperlink"/>
            <w:rFonts w:ascii="Calibri" w:hAnsi="Calibri"/>
          </w:rPr>
          <w:t>2015</w:t>
        </w:r>
        <w:r w:rsidR="00675B08" w:rsidRPr="00341238">
          <w:rPr>
            <w:rStyle w:val="Hyperlink"/>
            <w:rFonts w:ascii="Calibri" w:hAnsi="Calibri"/>
          </w:rPr>
          <w:t xml:space="preserve"> </w:t>
        </w:r>
        <w:r w:rsidR="005A3E47" w:rsidRPr="00341238">
          <w:rPr>
            <w:rStyle w:val="Hyperlink"/>
            <w:rFonts w:ascii="Calibri" w:hAnsi="Calibri"/>
          </w:rPr>
          <w:t>Operating Appropriations</w:t>
        </w:r>
        <w:r w:rsidR="005A3E47" w:rsidRPr="00341238">
          <w:rPr>
            <w:rFonts w:ascii="Calibri" w:hAnsi="Calibri"/>
            <w:webHidden/>
          </w:rPr>
          <w:tab/>
        </w:r>
        <w:r w:rsidR="00673C9D" w:rsidRPr="00341238">
          <w:rPr>
            <w:rFonts w:ascii="Calibri" w:hAnsi="Calibri"/>
            <w:webHidden/>
          </w:rPr>
          <w:t>3</w:t>
        </w:r>
      </w:hyperlink>
      <w:r w:rsidR="00BD2A2D" w:rsidRPr="00341238">
        <w:rPr>
          <w:rStyle w:val="Hyperlink"/>
          <w:rFonts w:ascii="Calibri" w:hAnsi="Calibri"/>
          <w:b w:val="0"/>
          <w:color w:val="000000"/>
          <w:u w:val="none"/>
        </w:rPr>
        <w:br/>
      </w:r>
    </w:p>
    <w:p w:rsidR="005A3E47" w:rsidRPr="00341238" w:rsidRDefault="000D198D" w:rsidP="00DB4FEA">
      <w:pPr>
        <w:pStyle w:val="TOC2"/>
        <w:rPr>
          <w:rStyle w:val="Hyperlink"/>
          <w:rFonts w:ascii="Calibri" w:hAnsi="Calibri"/>
          <w:color w:val="auto"/>
          <w:u w:val="none"/>
        </w:rPr>
      </w:pPr>
      <w:hyperlink w:anchor="_Toc102895207" w:history="1">
        <w:r w:rsidR="005A3E47" w:rsidRPr="00341238">
          <w:rPr>
            <w:rStyle w:val="Hyperlink"/>
            <w:rFonts w:ascii="Calibri" w:hAnsi="Calibri"/>
            <w:color w:val="auto"/>
            <w:u w:val="none"/>
          </w:rPr>
          <w:t xml:space="preserve">Establishing </w:t>
        </w:r>
        <w:r w:rsidR="006C67EA" w:rsidRPr="00341238">
          <w:rPr>
            <w:rStyle w:val="Hyperlink"/>
            <w:rFonts w:ascii="Calibri" w:hAnsi="Calibri"/>
            <w:color w:val="auto"/>
            <w:u w:val="none"/>
          </w:rPr>
          <w:t>A</w:t>
        </w:r>
        <w:r w:rsidR="005A3E47" w:rsidRPr="00341238">
          <w:rPr>
            <w:rStyle w:val="Hyperlink"/>
            <w:rFonts w:ascii="Calibri" w:hAnsi="Calibri"/>
            <w:color w:val="auto"/>
            <w:u w:val="none"/>
          </w:rPr>
          <w:t>ppropriations</w:t>
        </w:r>
        <w:r w:rsidR="005A3E47" w:rsidRPr="00341238">
          <w:rPr>
            <w:rStyle w:val="Hyperlink"/>
            <w:rFonts w:ascii="Calibri" w:hAnsi="Calibri"/>
            <w:webHidden/>
            <w:color w:val="auto"/>
            <w:u w:val="none"/>
          </w:rPr>
          <w:tab/>
        </w:r>
        <w:r w:rsidR="00B512C9" w:rsidRPr="00341238">
          <w:rPr>
            <w:rStyle w:val="Hyperlink"/>
            <w:rFonts w:ascii="Calibri" w:hAnsi="Calibri"/>
            <w:webHidden/>
            <w:color w:val="auto"/>
            <w:u w:val="none"/>
          </w:rPr>
          <w:t>…...</w:t>
        </w:r>
        <w:r w:rsidRPr="00341238">
          <w:rPr>
            <w:rStyle w:val="Hyperlink"/>
            <w:rFonts w:ascii="Calibri" w:hAnsi="Calibri"/>
            <w:webHidden/>
            <w:color w:val="auto"/>
            <w:u w:val="none"/>
          </w:rPr>
          <w:fldChar w:fldCharType="begin"/>
        </w:r>
        <w:r w:rsidR="005A3E47" w:rsidRPr="00341238">
          <w:rPr>
            <w:rStyle w:val="Hyperlink"/>
            <w:rFonts w:ascii="Calibri" w:hAnsi="Calibri"/>
            <w:webHidden/>
            <w:color w:val="auto"/>
            <w:u w:val="none"/>
          </w:rPr>
          <w:instrText xml:space="preserve"> PAGEREF _Toc102895207 \h </w:instrText>
        </w:r>
        <w:r w:rsidRPr="00341238">
          <w:rPr>
            <w:rStyle w:val="Hyperlink"/>
            <w:rFonts w:ascii="Calibri" w:hAnsi="Calibri"/>
            <w:webHidden/>
            <w:color w:val="auto"/>
            <w:u w:val="none"/>
          </w:rPr>
        </w:r>
        <w:r w:rsidRPr="00341238">
          <w:rPr>
            <w:rStyle w:val="Hyperlink"/>
            <w:rFonts w:ascii="Calibri" w:hAnsi="Calibri"/>
            <w:webHidden/>
            <w:color w:val="auto"/>
            <w:u w:val="none"/>
          </w:rPr>
          <w:fldChar w:fldCharType="separate"/>
        </w:r>
        <w:r w:rsidR="00BD5A46">
          <w:rPr>
            <w:rStyle w:val="Hyperlink"/>
            <w:rFonts w:ascii="Calibri" w:hAnsi="Calibri"/>
            <w:webHidden/>
            <w:color w:val="auto"/>
            <w:u w:val="none"/>
          </w:rPr>
          <w:t>3</w:t>
        </w:r>
        <w:r w:rsidRPr="00341238">
          <w:rPr>
            <w:rStyle w:val="Hyperlink"/>
            <w:rFonts w:ascii="Calibri" w:hAnsi="Calibri"/>
            <w:webHidden/>
            <w:color w:val="auto"/>
            <w:u w:val="none"/>
          </w:rPr>
          <w:fldChar w:fldCharType="end"/>
        </w:r>
      </w:hyperlink>
    </w:p>
    <w:p w:rsidR="005A3E47" w:rsidRPr="00341238" w:rsidRDefault="000D198D" w:rsidP="00DB4FEA">
      <w:pPr>
        <w:pStyle w:val="TOC2"/>
        <w:rPr>
          <w:rStyle w:val="Hyperlink"/>
          <w:rFonts w:ascii="Calibri" w:hAnsi="Calibri"/>
          <w:color w:val="auto"/>
          <w:u w:val="none"/>
        </w:rPr>
      </w:pPr>
      <w:hyperlink w:anchor="_Toc102895208" w:history="1">
        <w:r w:rsidR="005A3E47" w:rsidRPr="00341238">
          <w:rPr>
            <w:rStyle w:val="Hyperlink"/>
            <w:rFonts w:ascii="Calibri" w:hAnsi="Calibri"/>
            <w:color w:val="auto"/>
            <w:u w:val="none"/>
          </w:rPr>
          <w:t xml:space="preserve">Appropriation </w:t>
        </w:r>
        <w:r w:rsidR="00653A9D" w:rsidRPr="00341238">
          <w:rPr>
            <w:rStyle w:val="Hyperlink"/>
            <w:rFonts w:ascii="Calibri" w:hAnsi="Calibri"/>
            <w:color w:val="auto"/>
            <w:u w:val="none"/>
          </w:rPr>
          <w:t>of Nongeneral fund Cash Balances</w:t>
        </w:r>
        <w:r w:rsidR="005A3E47" w:rsidRPr="00341238">
          <w:rPr>
            <w:rStyle w:val="Hyperlink"/>
            <w:rFonts w:ascii="Calibri" w:hAnsi="Calibri"/>
            <w:webHidden/>
            <w:color w:val="auto"/>
            <w:u w:val="none"/>
          </w:rPr>
          <w:tab/>
        </w:r>
      </w:hyperlink>
      <w:r w:rsidR="00653A9D" w:rsidRPr="00341238">
        <w:t>4</w:t>
      </w:r>
    </w:p>
    <w:p w:rsidR="00D831FA" w:rsidRPr="00341238" w:rsidRDefault="000D198D" w:rsidP="00DB4FEA">
      <w:pPr>
        <w:pStyle w:val="TOC2"/>
        <w:rPr>
          <w:rStyle w:val="Hyperlink"/>
          <w:rFonts w:ascii="Calibri" w:hAnsi="Calibri"/>
          <w:color w:val="auto"/>
          <w:u w:val="none"/>
        </w:rPr>
      </w:pPr>
      <w:hyperlink w:anchor="_Toc102895212" w:history="1">
        <w:r w:rsidR="005A3E47" w:rsidRPr="00341238">
          <w:rPr>
            <w:rStyle w:val="Hyperlink"/>
            <w:rFonts w:ascii="Calibri" w:hAnsi="Calibri"/>
            <w:color w:val="auto"/>
            <w:u w:val="none"/>
          </w:rPr>
          <w:t xml:space="preserve">Additional </w:t>
        </w:r>
        <w:r w:rsidR="006C67EA" w:rsidRPr="00341238">
          <w:rPr>
            <w:rStyle w:val="Hyperlink"/>
            <w:rFonts w:ascii="Calibri" w:hAnsi="Calibri"/>
            <w:color w:val="auto"/>
            <w:u w:val="none"/>
          </w:rPr>
          <w:t>N</w:t>
        </w:r>
        <w:r w:rsidR="005A3E47" w:rsidRPr="00341238">
          <w:rPr>
            <w:rStyle w:val="Hyperlink"/>
            <w:rFonts w:ascii="Calibri" w:hAnsi="Calibri"/>
            <w:color w:val="auto"/>
            <w:u w:val="none"/>
          </w:rPr>
          <w:t xml:space="preserve">ongeneral </w:t>
        </w:r>
        <w:r w:rsidR="006C67EA" w:rsidRPr="00341238">
          <w:rPr>
            <w:rStyle w:val="Hyperlink"/>
            <w:rFonts w:ascii="Calibri" w:hAnsi="Calibri"/>
            <w:color w:val="auto"/>
            <w:u w:val="none"/>
          </w:rPr>
          <w:t>F</w:t>
        </w:r>
        <w:r w:rsidR="005A3E47" w:rsidRPr="00341238">
          <w:rPr>
            <w:rStyle w:val="Hyperlink"/>
            <w:rFonts w:ascii="Calibri" w:hAnsi="Calibri"/>
            <w:color w:val="auto"/>
            <w:u w:val="none"/>
          </w:rPr>
          <w:t xml:space="preserve">und </w:t>
        </w:r>
        <w:r w:rsidR="006C67EA" w:rsidRPr="00341238">
          <w:rPr>
            <w:rStyle w:val="Hyperlink"/>
            <w:rFonts w:ascii="Calibri" w:hAnsi="Calibri"/>
            <w:color w:val="auto"/>
            <w:u w:val="none"/>
          </w:rPr>
          <w:t>R</w:t>
        </w:r>
        <w:r w:rsidR="005A3E47" w:rsidRPr="00341238">
          <w:rPr>
            <w:rStyle w:val="Hyperlink"/>
            <w:rFonts w:ascii="Calibri" w:hAnsi="Calibri"/>
            <w:color w:val="auto"/>
            <w:u w:val="none"/>
          </w:rPr>
          <w:t xml:space="preserve">evenue </w:t>
        </w:r>
        <w:r w:rsidR="006C67EA" w:rsidRPr="00341238">
          <w:rPr>
            <w:rStyle w:val="Hyperlink"/>
            <w:rFonts w:ascii="Calibri" w:hAnsi="Calibri"/>
            <w:color w:val="auto"/>
            <w:u w:val="none"/>
          </w:rPr>
          <w:t>A</w:t>
        </w:r>
        <w:r w:rsidR="005A3E47" w:rsidRPr="00341238">
          <w:rPr>
            <w:rStyle w:val="Hyperlink"/>
            <w:rFonts w:ascii="Calibri" w:hAnsi="Calibri"/>
            <w:color w:val="auto"/>
            <w:u w:val="none"/>
          </w:rPr>
          <w:t>ppropriations</w:t>
        </w:r>
        <w:r w:rsidR="005A3E47" w:rsidRPr="00341238">
          <w:rPr>
            <w:rStyle w:val="Hyperlink"/>
            <w:rFonts w:ascii="Calibri" w:hAnsi="Calibri"/>
            <w:webHidden/>
            <w:color w:val="auto"/>
            <w:u w:val="none"/>
          </w:rPr>
          <w:tab/>
        </w:r>
        <w:r w:rsidRPr="00341238">
          <w:rPr>
            <w:rStyle w:val="Hyperlink"/>
            <w:rFonts w:ascii="Calibri" w:hAnsi="Calibri"/>
            <w:webHidden/>
            <w:color w:val="auto"/>
            <w:u w:val="none"/>
          </w:rPr>
          <w:fldChar w:fldCharType="begin"/>
        </w:r>
        <w:r w:rsidR="005A3E47" w:rsidRPr="00341238">
          <w:rPr>
            <w:rStyle w:val="Hyperlink"/>
            <w:rFonts w:ascii="Calibri" w:hAnsi="Calibri"/>
            <w:webHidden/>
            <w:color w:val="auto"/>
            <w:u w:val="none"/>
          </w:rPr>
          <w:instrText xml:space="preserve"> PAGEREF _Toc102895212 \h </w:instrText>
        </w:r>
        <w:r w:rsidRPr="00341238">
          <w:rPr>
            <w:rStyle w:val="Hyperlink"/>
            <w:rFonts w:ascii="Calibri" w:hAnsi="Calibri"/>
            <w:webHidden/>
            <w:color w:val="auto"/>
            <w:u w:val="none"/>
          </w:rPr>
        </w:r>
        <w:r w:rsidRPr="00341238">
          <w:rPr>
            <w:rStyle w:val="Hyperlink"/>
            <w:rFonts w:ascii="Calibri" w:hAnsi="Calibri"/>
            <w:webHidden/>
            <w:color w:val="auto"/>
            <w:u w:val="none"/>
          </w:rPr>
          <w:fldChar w:fldCharType="separate"/>
        </w:r>
        <w:r w:rsidR="00BD5A46">
          <w:rPr>
            <w:rStyle w:val="Hyperlink"/>
            <w:rFonts w:ascii="Calibri" w:hAnsi="Calibri"/>
            <w:webHidden/>
            <w:color w:val="auto"/>
            <w:u w:val="none"/>
          </w:rPr>
          <w:t>5</w:t>
        </w:r>
        <w:r w:rsidRPr="00341238">
          <w:rPr>
            <w:rStyle w:val="Hyperlink"/>
            <w:rFonts w:ascii="Calibri" w:hAnsi="Calibri"/>
            <w:webHidden/>
            <w:color w:val="auto"/>
            <w:u w:val="none"/>
          </w:rPr>
          <w:fldChar w:fldCharType="end"/>
        </w:r>
      </w:hyperlink>
      <w:r w:rsidR="00D831FA" w:rsidRPr="00341238">
        <w:rPr>
          <w:rStyle w:val="Hyperlink"/>
          <w:rFonts w:ascii="Calibri" w:hAnsi="Calibri"/>
          <w:color w:val="auto"/>
          <w:u w:val="none"/>
        </w:rPr>
        <w:br/>
        <w:t>Clearing Out Convenience Subobject and Fund Codes</w:t>
      </w:r>
      <w:r w:rsidR="00473008" w:rsidRPr="00341238">
        <w:rPr>
          <w:rStyle w:val="Hyperlink"/>
          <w:rFonts w:ascii="Calibri" w:hAnsi="Calibri"/>
          <w:webHidden/>
          <w:color w:val="auto"/>
          <w:u w:val="none"/>
        </w:rPr>
        <w:tab/>
      </w:r>
      <w:r w:rsidR="00653A9D" w:rsidRPr="00341238">
        <w:rPr>
          <w:rStyle w:val="Hyperlink"/>
          <w:rFonts w:ascii="Calibri" w:hAnsi="Calibri"/>
          <w:webHidden/>
          <w:color w:val="auto"/>
          <w:u w:val="none"/>
        </w:rPr>
        <w:t>5</w:t>
      </w:r>
    </w:p>
    <w:p w:rsidR="00653A9D" w:rsidRPr="00341238" w:rsidRDefault="00653A9D" w:rsidP="00653A9D">
      <w:pPr>
        <w:pStyle w:val="TOC2"/>
        <w:rPr>
          <w:rStyle w:val="Hyperlink"/>
          <w:rFonts w:ascii="Calibri" w:hAnsi="Calibri"/>
          <w:color w:val="auto"/>
          <w:u w:val="none"/>
        </w:rPr>
      </w:pPr>
      <w:r w:rsidRPr="00341238">
        <w:rPr>
          <w:rStyle w:val="Hyperlink"/>
          <w:rFonts w:ascii="Calibri" w:hAnsi="Calibri"/>
          <w:color w:val="auto"/>
          <w:u w:val="none"/>
        </w:rPr>
        <w:t>FY 2015 Fringe Benefit Rates</w:t>
      </w:r>
      <w:r w:rsidRPr="00341238">
        <w:rPr>
          <w:rStyle w:val="Hyperlink"/>
          <w:rFonts w:ascii="Calibri" w:hAnsi="Calibri"/>
          <w:webHidden/>
          <w:color w:val="auto"/>
          <w:u w:val="none"/>
        </w:rPr>
        <w:tab/>
        <w:t>6</w:t>
      </w:r>
    </w:p>
    <w:p w:rsidR="00D831FA" w:rsidRPr="00341238" w:rsidRDefault="000D198D" w:rsidP="00DB4FEA">
      <w:pPr>
        <w:pStyle w:val="TOC2"/>
        <w:rPr>
          <w:rStyle w:val="Hyperlink"/>
          <w:rFonts w:ascii="Calibri" w:hAnsi="Calibri"/>
          <w:color w:val="auto"/>
          <w:u w:val="none"/>
        </w:rPr>
      </w:pPr>
      <w:hyperlink w:anchor="_Toc102895216" w:history="1">
        <w:r w:rsidR="00D831FA" w:rsidRPr="00341238">
          <w:rPr>
            <w:rStyle w:val="Hyperlink"/>
            <w:rFonts w:ascii="Calibri" w:hAnsi="Calibri"/>
            <w:color w:val="auto"/>
            <w:u w:val="none"/>
          </w:rPr>
          <w:t>Higher Education Equipment Trust Fund Lease Payments</w:t>
        </w:r>
        <w:r w:rsidR="00D831FA" w:rsidRPr="00341238">
          <w:rPr>
            <w:rStyle w:val="Hyperlink"/>
            <w:rFonts w:ascii="Calibri" w:hAnsi="Calibri"/>
            <w:webHidden/>
            <w:color w:val="auto"/>
            <w:u w:val="none"/>
          </w:rPr>
          <w:tab/>
        </w:r>
      </w:hyperlink>
      <w:r w:rsidR="003164EB">
        <w:rPr>
          <w:rStyle w:val="Hyperlink"/>
          <w:rFonts w:ascii="Calibri" w:hAnsi="Calibri"/>
          <w:color w:val="auto"/>
          <w:u w:val="none"/>
        </w:rPr>
        <w:t>6</w:t>
      </w:r>
    </w:p>
    <w:p w:rsidR="00D831FA" w:rsidRPr="00341238" w:rsidRDefault="00D831FA" w:rsidP="00DB4FEA">
      <w:pPr>
        <w:pStyle w:val="TOC2"/>
        <w:rPr>
          <w:rStyle w:val="Hyperlink"/>
          <w:rFonts w:ascii="Calibri" w:hAnsi="Calibri"/>
          <w:color w:val="auto"/>
          <w:u w:val="none"/>
        </w:rPr>
      </w:pPr>
      <w:r w:rsidRPr="00341238">
        <w:rPr>
          <w:rStyle w:val="Hyperlink"/>
          <w:rFonts w:ascii="Calibri" w:hAnsi="Calibri"/>
          <w:color w:val="auto"/>
          <w:u w:val="none"/>
        </w:rPr>
        <w:t>Capital Fees for Out-of-State Students</w:t>
      </w:r>
      <w:r w:rsidR="00653A9D" w:rsidRPr="00341238">
        <w:rPr>
          <w:rStyle w:val="Hyperlink"/>
          <w:rFonts w:ascii="Calibri" w:hAnsi="Calibri"/>
          <w:webHidden/>
          <w:color w:val="auto"/>
          <w:u w:val="none"/>
        </w:rPr>
        <w:tab/>
        <w:t>7</w:t>
      </w:r>
      <w:r w:rsidR="00F70E9D" w:rsidRPr="00341238">
        <w:rPr>
          <w:rStyle w:val="Hyperlink"/>
          <w:rFonts w:ascii="Calibri" w:hAnsi="Calibri"/>
          <w:webHidden/>
          <w:color w:val="auto"/>
          <w:u w:val="none"/>
        </w:rPr>
        <w:br/>
      </w:r>
    </w:p>
    <w:p w:rsidR="00D831FA" w:rsidRPr="00341238" w:rsidRDefault="00D831FA" w:rsidP="00673C9D">
      <w:pPr>
        <w:pStyle w:val="TOC1"/>
        <w:rPr>
          <w:rStyle w:val="Hyperlink"/>
          <w:rFonts w:ascii="Calibri" w:hAnsi="Calibri"/>
          <w:b w:val="0"/>
          <w:bCs w:val="0"/>
          <w:color w:val="auto"/>
          <w:u w:val="none"/>
        </w:rPr>
      </w:pPr>
      <w:r w:rsidRPr="00341238">
        <w:t>Capital Projects</w:t>
      </w:r>
      <w:r w:rsidRPr="00341238">
        <w:rPr>
          <w:webHidden/>
        </w:rPr>
        <w:tab/>
      </w:r>
      <w:r w:rsidR="00673C9D" w:rsidRPr="00341238">
        <w:rPr>
          <w:webHidden/>
        </w:rPr>
        <w:t>8</w:t>
      </w:r>
      <w:r w:rsidR="00BD2A2D" w:rsidRPr="00341238">
        <w:rPr>
          <w:webHidden/>
        </w:rPr>
        <w:br/>
      </w:r>
    </w:p>
    <w:p w:rsidR="003C5B98" w:rsidRPr="00341238" w:rsidRDefault="00341238" w:rsidP="00DB4FEA">
      <w:pPr>
        <w:pStyle w:val="TOC2"/>
        <w:rPr>
          <w:rStyle w:val="Hyperlink"/>
          <w:rFonts w:ascii="Calibri" w:hAnsi="Calibri"/>
          <w:color w:val="auto"/>
          <w:u w:val="none"/>
        </w:rPr>
      </w:pPr>
      <w:r w:rsidRPr="00341238">
        <w:rPr>
          <w:rStyle w:val="Hyperlink"/>
          <w:rFonts w:ascii="Calibri" w:hAnsi="Calibri"/>
          <w:color w:val="auto"/>
          <w:u w:val="none"/>
        </w:rPr>
        <w:t>Execution of New Capital Projects</w:t>
      </w:r>
      <w:r w:rsidR="003C5B98" w:rsidRPr="00341238">
        <w:rPr>
          <w:rStyle w:val="Hyperlink"/>
          <w:rFonts w:ascii="Calibri" w:hAnsi="Calibri"/>
          <w:color w:val="auto"/>
          <w:u w:val="none"/>
        </w:rPr>
        <w:tab/>
      </w:r>
      <w:r w:rsidR="00673C9D" w:rsidRPr="00341238">
        <w:rPr>
          <w:rStyle w:val="Hyperlink"/>
          <w:rFonts w:ascii="Calibri" w:hAnsi="Calibri"/>
          <w:color w:val="auto"/>
          <w:u w:val="none"/>
        </w:rPr>
        <w:t>8</w:t>
      </w:r>
    </w:p>
    <w:p w:rsidR="005A3E47" w:rsidRPr="00341238" w:rsidRDefault="00341238" w:rsidP="00DB4FEA">
      <w:pPr>
        <w:pStyle w:val="TOC2"/>
        <w:rPr>
          <w:rFonts w:ascii="Calibri" w:hAnsi="Calibri"/>
          <w:webHidden/>
        </w:rPr>
      </w:pPr>
      <w:r w:rsidRPr="00341238">
        <w:rPr>
          <w:rStyle w:val="Hyperlink"/>
          <w:rFonts w:ascii="Calibri" w:hAnsi="Calibri"/>
          <w:color w:val="auto"/>
          <w:u w:val="none"/>
        </w:rPr>
        <w:t xml:space="preserve">Stand-alone </w:t>
      </w:r>
      <w:r w:rsidR="002B5F1F" w:rsidRPr="00341238">
        <w:rPr>
          <w:rStyle w:val="Hyperlink"/>
          <w:rFonts w:ascii="Calibri" w:hAnsi="Calibri"/>
          <w:color w:val="auto"/>
          <w:u w:val="none"/>
        </w:rPr>
        <w:t>Projects</w:t>
      </w:r>
      <w:r w:rsidRPr="00341238">
        <w:rPr>
          <w:rStyle w:val="Hyperlink"/>
          <w:rFonts w:ascii="Calibri" w:hAnsi="Calibri"/>
          <w:color w:val="auto"/>
          <w:u w:val="none"/>
        </w:rPr>
        <w:t xml:space="preserve"> Newly Authorized in the Budget</w:t>
      </w:r>
      <w:r w:rsidR="002B5F1F" w:rsidRPr="00341238">
        <w:rPr>
          <w:rFonts w:ascii="Calibri" w:hAnsi="Calibri"/>
          <w:webHidden/>
        </w:rPr>
        <w:tab/>
      </w:r>
      <w:r w:rsidRPr="00341238">
        <w:rPr>
          <w:rFonts w:ascii="Calibri" w:hAnsi="Calibri"/>
          <w:webHidden/>
        </w:rPr>
        <w:t>8</w:t>
      </w:r>
    </w:p>
    <w:p w:rsidR="00933A71" w:rsidRPr="00341238" w:rsidRDefault="00341238" w:rsidP="00DB4FEA">
      <w:pPr>
        <w:pStyle w:val="TOC2"/>
        <w:rPr>
          <w:rStyle w:val="Hyperlink"/>
          <w:rFonts w:ascii="Calibri" w:hAnsi="Calibri"/>
          <w:color w:val="auto"/>
          <w:u w:val="none"/>
        </w:rPr>
      </w:pPr>
      <w:r w:rsidRPr="00341238">
        <w:rPr>
          <w:rStyle w:val="Hyperlink"/>
          <w:rFonts w:ascii="Calibri" w:hAnsi="Calibri"/>
          <w:color w:val="auto"/>
          <w:u w:val="none"/>
        </w:rPr>
        <w:t>Central Capital Pool Projects</w:t>
      </w:r>
      <w:r w:rsidR="0076255F" w:rsidRPr="00341238">
        <w:rPr>
          <w:rStyle w:val="Hyperlink"/>
          <w:rFonts w:ascii="Calibri" w:hAnsi="Calibri"/>
          <w:color w:val="auto"/>
          <w:u w:val="none"/>
        </w:rPr>
        <w:tab/>
      </w:r>
      <w:r w:rsidR="00673C9D" w:rsidRPr="00341238">
        <w:rPr>
          <w:rStyle w:val="Hyperlink"/>
          <w:rFonts w:ascii="Calibri" w:hAnsi="Calibri"/>
          <w:color w:val="auto"/>
          <w:u w:val="none"/>
        </w:rPr>
        <w:t>9</w:t>
      </w:r>
    </w:p>
    <w:p w:rsidR="00341238" w:rsidRPr="00341238" w:rsidRDefault="00341238" w:rsidP="00341238">
      <w:pPr>
        <w:pStyle w:val="TOC2"/>
        <w:rPr>
          <w:rStyle w:val="Hyperlink"/>
          <w:rFonts w:ascii="Calibri" w:hAnsi="Calibri"/>
          <w:color w:val="auto"/>
          <w:u w:val="none"/>
        </w:rPr>
      </w:pPr>
      <w:r w:rsidRPr="00341238">
        <w:rPr>
          <w:rStyle w:val="Hyperlink"/>
          <w:rFonts w:ascii="Calibri" w:hAnsi="Calibri"/>
          <w:color w:val="auto"/>
          <w:u w:val="none"/>
        </w:rPr>
        <w:t>2014-2016 Maintenance Reserve Appropriations</w:t>
      </w:r>
      <w:r w:rsidRPr="00341238">
        <w:rPr>
          <w:rStyle w:val="Hyperlink"/>
          <w:rFonts w:ascii="Calibri" w:hAnsi="Calibri"/>
          <w:color w:val="auto"/>
          <w:u w:val="none"/>
        </w:rPr>
        <w:tab/>
        <w:t>9</w:t>
      </w:r>
    </w:p>
    <w:p w:rsidR="00703D70" w:rsidRPr="00341238" w:rsidRDefault="00703D70" w:rsidP="00DB4FEA">
      <w:pPr>
        <w:pStyle w:val="TOC2"/>
        <w:rPr>
          <w:rFonts w:ascii="Calibri" w:hAnsi="Calibri"/>
          <w:webHidden/>
        </w:rPr>
      </w:pPr>
      <w:r w:rsidRPr="00341238">
        <w:rPr>
          <w:rStyle w:val="Hyperlink"/>
          <w:rFonts w:ascii="Calibri" w:hAnsi="Calibri"/>
          <w:color w:val="auto"/>
          <w:u w:val="none"/>
        </w:rPr>
        <w:t>Re-establishing Closed-Out Capital Outlay Projects and Restoring Reverted Appropriations</w:t>
      </w:r>
      <w:r w:rsidRPr="00341238">
        <w:rPr>
          <w:rFonts w:ascii="Calibri" w:hAnsi="Calibri"/>
          <w:webHidden/>
        </w:rPr>
        <w:tab/>
      </w:r>
      <w:r w:rsidR="00341238" w:rsidRPr="00341238">
        <w:rPr>
          <w:rFonts w:ascii="Calibri" w:hAnsi="Calibri"/>
          <w:webHidden/>
        </w:rPr>
        <w:t>9</w:t>
      </w:r>
    </w:p>
    <w:p w:rsidR="00341238" w:rsidRPr="00341238" w:rsidRDefault="00341238" w:rsidP="00341238">
      <w:pPr>
        <w:pStyle w:val="TOC2"/>
        <w:rPr>
          <w:rStyle w:val="Hyperlink"/>
          <w:rFonts w:ascii="Calibri" w:hAnsi="Calibri"/>
          <w:color w:val="auto"/>
          <w:u w:val="none"/>
        </w:rPr>
      </w:pPr>
      <w:r w:rsidRPr="00341238">
        <w:rPr>
          <w:rStyle w:val="Hyperlink"/>
          <w:rFonts w:ascii="Calibri" w:hAnsi="Calibri"/>
          <w:color w:val="auto"/>
          <w:u w:val="none"/>
        </w:rPr>
        <w:t>Coding of Subprojects</w:t>
      </w:r>
      <w:r w:rsidRPr="00341238">
        <w:rPr>
          <w:rStyle w:val="Hyperlink"/>
          <w:rFonts w:ascii="Calibri" w:hAnsi="Calibri"/>
          <w:color w:val="auto"/>
          <w:u w:val="none"/>
        </w:rPr>
        <w:tab/>
        <w:t>10</w:t>
      </w:r>
    </w:p>
    <w:p w:rsidR="00DB4FEA" w:rsidRPr="00341238" w:rsidRDefault="00341238" w:rsidP="00341238">
      <w:pPr>
        <w:pStyle w:val="TOC2"/>
        <w:rPr>
          <w:rStyle w:val="Hyperlink"/>
          <w:rFonts w:ascii="Calibri" w:hAnsi="Calibri"/>
          <w:color w:val="auto"/>
          <w:u w:val="none"/>
        </w:rPr>
      </w:pPr>
      <w:r w:rsidRPr="00341238">
        <w:rPr>
          <w:rStyle w:val="Hyperlink"/>
          <w:rFonts w:ascii="Calibri" w:hAnsi="Calibri"/>
          <w:color w:val="auto"/>
          <w:u w:val="none"/>
        </w:rPr>
        <w:t>Maintenance Reserve Reporting</w:t>
      </w:r>
      <w:r w:rsidRPr="00341238">
        <w:rPr>
          <w:rStyle w:val="Hyperlink"/>
          <w:rFonts w:ascii="Calibri" w:hAnsi="Calibri"/>
          <w:color w:val="auto"/>
          <w:u w:val="none"/>
        </w:rPr>
        <w:tab/>
        <w:t>10</w:t>
      </w:r>
    </w:p>
    <w:p w:rsidR="005A3E47" w:rsidRPr="00341238" w:rsidRDefault="005A3E47" w:rsidP="00DB4FEA">
      <w:pPr>
        <w:pStyle w:val="TOC2"/>
        <w:rPr>
          <w:rFonts w:ascii="Calibri" w:hAnsi="Calibri"/>
        </w:rPr>
      </w:pPr>
    </w:p>
    <w:p w:rsidR="00BD2A2D" w:rsidRPr="00341238" w:rsidRDefault="003C5B98" w:rsidP="00673C9D">
      <w:pPr>
        <w:pStyle w:val="TOC1"/>
        <w:rPr>
          <w:rStyle w:val="Hyperlink"/>
          <w:rFonts w:ascii="Calibri" w:hAnsi="Calibri"/>
          <w:b w:val="0"/>
          <w:bCs w:val="0"/>
          <w:color w:val="auto"/>
          <w:u w:val="none"/>
        </w:rPr>
      </w:pPr>
      <w:r w:rsidRPr="00341238">
        <w:t xml:space="preserve">Appendices </w:t>
      </w:r>
      <w:r w:rsidR="00BD2A2D" w:rsidRPr="00341238">
        <w:rPr>
          <w:webHidden/>
        </w:rPr>
        <w:tab/>
      </w:r>
      <w:r w:rsidR="00673C9D" w:rsidRPr="00341238">
        <w:rPr>
          <w:webHidden/>
        </w:rPr>
        <w:t>1</w:t>
      </w:r>
      <w:r w:rsidR="00341238" w:rsidRPr="00341238">
        <w:rPr>
          <w:webHidden/>
        </w:rPr>
        <w:t>1</w:t>
      </w:r>
      <w:r w:rsidR="00BD2A2D" w:rsidRPr="00341238">
        <w:rPr>
          <w:webHidden/>
        </w:rPr>
        <w:br/>
      </w:r>
    </w:p>
    <w:p w:rsidR="00E16A0B" w:rsidRPr="00341238" w:rsidRDefault="00AB36C6" w:rsidP="00DB4FEA">
      <w:pPr>
        <w:pStyle w:val="TOC2"/>
        <w:rPr>
          <w:rStyle w:val="Hyperlink"/>
          <w:rFonts w:ascii="Calibri" w:hAnsi="Calibri"/>
          <w:color w:val="auto"/>
          <w:u w:val="none"/>
        </w:rPr>
      </w:pPr>
      <w:r w:rsidRPr="00341238">
        <w:rPr>
          <w:rStyle w:val="Hyperlink"/>
          <w:rFonts w:ascii="Calibri" w:hAnsi="Calibri"/>
          <w:color w:val="auto"/>
          <w:u w:val="none"/>
        </w:rPr>
        <w:t xml:space="preserve">Appendix A: Acknowledgement of Notification of Provisions of the Appropriation Act Relating to Indebtedness of State </w:t>
      </w:r>
      <w:r w:rsidR="00BD2A2D" w:rsidRPr="00341238">
        <w:rPr>
          <w:rStyle w:val="Hyperlink"/>
          <w:rFonts w:ascii="Calibri" w:hAnsi="Calibri"/>
          <w:color w:val="auto"/>
          <w:u w:val="none"/>
        </w:rPr>
        <w:t>A</w:t>
      </w:r>
      <w:r w:rsidRPr="00341238">
        <w:rPr>
          <w:rStyle w:val="Hyperlink"/>
          <w:rFonts w:ascii="Calibri" w:hAnsi="Calibri"/>
          <w:color w:val="auto"/>
          <w:u w:val="none"/>
        </w:rPr>
        <w:t>gencies....................................................................</w:t>
      </w:r>
      <w:r w:rsidRPr="00341238">
        <w:rPr>
          <w:rStyle w:val="Hyperlink"/>
          <w:rFonts w:ascii="Calibri" w:hAnsi="Calibri"/>
          <w:webHidden/>
          <w:color w:val="auto"/>
          <w:u w:val="none"/>
        </w:rPr>
        <w:tab/>
      </w:r>
      <w:r w:rsidR="00673C9D" w:rsidRPr="00341238">
        <w:rPr>
          <w:rStyle w:val="Hyperlink"/>
          <w:rFonts w:ascii="Calibri" w:hAnsi="Calibri"/>
          <w:webHidden/>
          <w:color w:val="auto"/>
          <w:u w:val="none"/>
        </w:rPr>
        <w:t>1</w:t>
      </w:r>
      <w:r w:rsidR="00341238" w:rsidRPr="00341238">
        <w:rPr>
          <w:rStyle w:val="Hyperlink"/>
          <w:rFonts w:ascii="Calibri" w:hAnsi="Calibri"/>
          <w:webHidden/>
          <w:color w:val="auto"/>
          <w:u w:val="none"/>
        </w:rPr>
        <w:t>1</w:t>
      </w:r>
    </w:p>
    <w:p w:rsidR="00AB36C6" w:rsidRPr="00341238" w:rsidRDefault="00AB36C6" w:rsidP="00DB4FEA">
      <w:pPr>
        <w:pStyle w:val="TOC2"/>
        <w:rPr>
          <w:rStyle w:val="Hyperlink"/>
          <w:rFonts w:ascii="Calibri" w:hAnsi="Calibri"/>
          <w:webHidden/>
          <w:color w:val="auto"/>
          <w:u w:val="none"/>
        </w:rPr>
      </w:pPr>
      <w:r w:rsidRPr="00341238">
        <w:rPr>
          <w:rStyle w:val="Hyperlink"/>
          <w:rFonts w:ascii="Calibri" w:hAnsi="Calibri"/>
          <w:color w:val="auto"/>
          <w:u w:val="none"/>
        </w:rPr>
        <w:t xml:space="preserve">Appendix B: Appropriations Not To Be Allotted July 1, </w:t>
      </w:r>
      <w:r w:rsidR="00570627" w:rsidRPr="00341238">
        <w:rPr>
          <w:rStyle w:val="Hyperlink"/>
          <w:rFonts w:ascii="Calibri" w:hAnsi="Calibri"/>
          <w:color w:val="auto"/>
          <w:u w:val="none"/>
        </w:rPr>
        <w:t>2014</w:t>
      </w:r>
      <w:r w:rsidRPr="00341238">
        <w:rPr>
          <w:rStyle w:val="Hyperlink"/>
          <w:rFonts w:ascii="Calibri" w:hAnsi="Calibri"/>
          <w:webHidden/>
          <w:color w:val="auto"/>
          <w:u w:val="none"/>
        </w:rPr>
        <w:tab/>
      </w:r>
      <w:r w:rsidR="00341238" w:rsidRPr="00341238">
        <w:rPr>
          <w:rStyle w:val="Hyperlink"/>
          <w:rFonts w:ascii="Calibri" w:hAnsi="Calibri"/>
          <w:webHidden/>
          <w:color w:val="auto"/>
          <w:u w:val="none"/>
        </w:rPr>
        <w:t>12</w:t>
      </w:r>
    </w:p>
    <w:p w:rsidR="005C3182" w:rsidRPr="00341238" w:rsidRDefault="005C3182" w:rsidP="00DB4FEA">
      <w:pPr>
        <w:pStyle w:val="TOC2"/>
        <w:rPr>
          <w:rStyle w:val="Hyperlink"/>
          <w:rFonts w:ascii="Calibri" w:hAnsi="Calibri"/>
          <w:color w:val="auto"/>
          <w:u w:val="none"/>
        </w:rPr>
      </w:pPr>
      <w:r w:rsidRPr="00341238">
        <w:rPr>
          <w:rStyle w:val="Hyperlink"/>
          <w:rFonts w:ascii="Calibri" w:hAnsi="Calibri"/>
          <w:color w:val="auto"/>
          <w:u w:val="none"/>
        </w:rPr>
        <w:t xml:space="preserve">Appendix </w:t>
      </w:r>
      <w:r w:rsidR="00DA13A6" w:rsidRPr="00341238">
        <w:rPr>
          <w:rStyle w:val="Hyperlink"/>
          <w:rFonts w:ascii="Calibri" w:hAnsi="Calibri"/>
          <w:color w:val="auto"/>
          <w:u w:val="none"/>
        </w:rPr>
        <w:t>C</w:t>
      </w:r>
      <w:r w:rsidRPr="00341238">
        <w:rPr>
          <w:rStyle w:val="Hyperlink"/>
          <w:rFonts w:ascii="Calibri" w:hAnsi="Calibri"/>
          <w:color w:val="auto"/>
          <w:u w:val="none"/>
        </w:rPr>
        <w:t xml:space="preserve">: </w:t>
      </w:r>
      <w:r w:rsidR="00341238" w:rsidRPr="00341238">
        <w:rPr>
          <w:rStyle w:val="Hyperlink"/>
          <w:rFonts w:ascii="Calibri" w:hAnsi="Calibri"/>
          <w:color w:val="auto"/>
          <w:u w:val="none"/>
        </w:rPr>
        <w:t>Employee Fringe Benefit Rates</w:t>
      </w:r>
      <w:r w:rsidR="00341238" w:rsidRPr="00341238">
        <w:rPr>
          <w:rStyle w:val="Hyperlink"/>
          <w:rFonts w:ascii="Calibri" w:hAnsi="Calibri"/>
          <w:color w:val="auto"/>
          <w:u w:val="none"/>
        </w:rPr>
        <w:tab/>
        <w:t>13</w:t>
      </w:r>
    </w:p>
    <w:p w:rsidR="00AB36C6" w:rsidRPr="00341238" w:rsidRDefault="00AB36C6" w:rsidP="00DB4FEA">
      <w:pPr>
        <w:pStyle w:val="TOC2"/>
        <w:rPr>
          <w:rStyle w:val="Hyperlink"/>
          <w:rFonts w:ascii="Calibri" w:hAnsi="Calibri"/>
          <w:color w:val="auto"/>
          <w:u w:val="none"/>
        </w:rPr>
      </w:pPr>
      <w:r w:rsidRPr="00341238">
        <w:rPr>
          <w:rStyle w:val="Hyperlink"/>
          <w:rFonts w:ascii="Calibri" w:hAnsi="Calibri"/>
          <w:color w:val="auto"/>
          <w:u w:val="none"/>
        </w:rPr>
        <w:t xml:space="preserve">Appendix </w:t>
      </w:r>
      <w:r w:rsidR="003164EB">
        <w:rPr>
          <w:rStyle w:val="Hyperlink"/>
          <w:rFonts w:ascii="Calibri" w:hAnsi="Calibri"/>
          <w:color w:val="auto"/>
          <w:u w:val="none"/>
        </w:rPr>
        <w:t>D</w:t>
      </w:r>
      <w:r w:rsidRPr="00341238">
        <w:rPr>
          <w:rStyle w:val="Hyperlink"/>
          <w:rFonts w:ascii="Calibri" w:hAnsi="Calibri"/>
          <w:color w:val="auto"/>
          <w:u w:val="none"/>
        </w:rPr>
        <w:t xml:space="preserve">: Treasury Board </w:t>
      </w:r>
      <w:r w:rsidR="00C03140" w:rsidRPr="00341238">
        <w:rPr>
          <w:rStyle w:val="Hyperlink"/>
          <w:rFonts w:ascii="Calibri" w:hAnsi="Calibri"/>
          <w:color w:val="auto"/>
          <w:u w:val="none"/>
        </w:rPr>
        <w:t xml:space="preserve">FY </w:t>
      </w:r>
      <w:r w:rsidR="00570627" w:rsidRPr="00341238">
        <w:rPr>
          <w:rStyle w:val="Hyperlink"/>
          <w:rFonts w:ascii="Calibri" w:hAnsi="Calibri"/>
          <w:color w:val="auto"/>
          <w:u w:val="none"/>
        </w:rPr>
        <w:t>2015</w:t>
      </w:r>
      <w:r w:rsidR="009D0B65" w:rsidRPr="00341238">
        <w:rPr>
          <w:rStyle w:val="Hyperlink"/>
          <w:rFonts w:ascii="Calibri" w:hAnsi="Calibri"/>
          <w:color w:val="auto"/>
          <w:u w:val="none"/>
        </w:rPr>
        <w:t xml:space="preserve"> </w:t>
      </w:r>
      <w:r w:rsidRPr="00341238">
        <w:rPr>
          <w:rStyle w:val="Hyperlink"/>
          <w:rFonts w:ascii="Calibri" w:hAnsi="Calibri"/>
          <w:color w:val="auto"/>
          <w:u w:val="none"/>
        </w:rPr>
        <w:t>HEETF Lease Payments</w:t>
      </w:r>
      <w:r w:rsidRPr="00341238">
        <w:rPr>
          <w:rStyle w:val="Hyperlink"/>
          <w:rFonts w:ascii="Calibri" w:hAnsi="Calibri"/>
          <w:webHidden/>
          <w:color w:val="auto"/>
          <w:u w:val="none"/>
        </w:rPr>
        <w:tab/>
      </w:r>
      <w:r w:rsidR="003164EB">
        <w:rPr>
          <w:rStyle w:val="Hyperlink"/>
          <w:rFonts w:ascii="Calibri" w:hAnsi="Calibri"/>
          <w:webHidden/>
          <w:color w:val="auto"/>
          <w:u w:val="none"/>
        </w:rPr>
        <w:t>14</w:t>
      </w:r>
    </w:p>
    <w:p w:rsidR="00AB36C6" w:rsidRPr="00341238" w:rsidRDefault="00AB36C6" w:rsidP="00DB4FEA">
      <w:pPr>
        <w:pStyle w:val="TOC2"/>
        <w:rPr>
          <w:rStyle w:val="Hyperlink"/>
          <w:rFonts w:ascii="Calibri" w:hAnsi="Calibri"/>
          <w:webHidden/>
          <w:color w:val="auto"/>
          <w:u w:val="none"/>
        </w:rPr>
      </w:pPr>
      <w:r w:rsidRPr="00341238">
        <w:rPr>
          <w:rStyle w:val="Hyperlink"/>
          <w:rFonts w:ascii="Calibri" w:hAnsi="Calibri"/>
          <w:color w:val="auto"/>
          <w:u w:val="none"/>
        </w:rPr>
        <w:t xml:space="preserve">Appendix </w:t>
      </w:r>
      <w:r w:rsidR="003164EB">
        <w:rPr>
          <w:rStyle w:val="Hyperlink"/>
          <w:rFonts w:ascii="Calibri" w:hAnsi="Calibri"/>
          <w:color w:val="auto"/>
          <w:u w:val="none"/>
        </w:rPr>
        <w:t>E</w:t>
      </w:r>
      <w:r w:rsidRPr="00341238">
        <w:rPr>
          <w:rStyle w:val="Hyperlink"/>
          <w:rFonts w:ascii="Calibri" w:hAnsi="Calibri"/>
          <w:color w:val="auto"/>
          <w:u w:val="none"/>
        </w:rPr>
        <w:t xml:space="preserve">: </w:t>
      </w:r>
      <w:r w:rsidR="00C03140" w:rsidRPr="00341238">
        <w:rPr>
          <w:rStyle w:val="Hyperlink"/>
          <w:rFonts w:ascii="Calibri" w:hAnsi="Calibri"/>
          <w:color w:val="auto"/>
          <w:u w:val="none"/>
        </w:rPr>
        <w:t xml:space="preserve">FY </w:t>
      </w:r>
      <w:r w:rsidR="00570627" w:rsidRPr="00341238">
        <w:rPr>
          <w:rStyle w:val="Hyperlink"/>
          <w:rFonts w:ascii="Calibri" w:hAnsi="Calibri"/>
          <w:color w:val="auto"/>
          <w:u w:val="none"/>
        </w:rPr>
        <w:t>2015</w:t>
      </w:r>
      <w:r w:rsidR="00675B08" w:rsidRPr="00341238">
        <w:rPr>
          <w:rStyle w:val="Hyperlink"/>
          <w:rFonts w:ascii="Calibri" w:hAnsi="Calibri"/>
          <w:color w:val="auto"/>
          <w:u w:val="none"/>
        </w:rPr>
        <w:t xml:space="preserve"> </w:t>
      </w:r>
      <w:r w:rsidRPr="00341238">
        <w:rPr>
          <w:rStyle w:val="Hyperlink"/>
          <w:rFonts w:ascii="Calibri" w:hAnsi="Calibri"/>
          <w:color w:val="auto"/>
          <w:u w:val="none"/>
        </w:rPr>
        <w:t>Capital Fee for Out-of-State Students</w:t>
      </w:r>
      <w:r w:rsidRPr="00341238">
        <w:rPr>
          <w:rStyle w:val="Hyperlink"/>
          <w:rFonts w:ascii="Calibri" w:hAnsi="Calibri"/>
          <w:webHidden/>
          <w:color w:val="auto"/>
          <w:u w:val="none"/>
        </w:rPr>
        <w:tab/>
      </w:r>
      <w:r w:rsidR="003164EB">
        <w:rPr>
          <w:rStyle w:val="Hyperlink"/>
          <w:rFonts w:ascii="Calibri" w:hAnsi="Calibri"/>
          <w:webHidden/>
          <w:color w:val="auto"/>
          <w:u w:val="none"/>
        </w:rPr>
        <w:t>15</w:t>
      </w:r>
    </w:p>
    <w:p w:rsidR="00F75FE5" w:rsidRPr="00341238" w:rsidRDefault="00F75FE5" w:rsidP="00124276">
      <w:pPr>
        <w:pStyle w:val="TOC1"/>
        <w:rPr>
          <w:rFonts w:ascii="Calibri" w:hAnsi="Calibri"/>
        </w:rPr>
      </w:pPr>
    </w:p>
    <w:p w:rsidR="004D00F6" w:rsidRPr="0093655C" w:rsidRDefault="000D198D" w:rsidP="00E27551">
      <w:pPr>
        <w:pStyle w:val="Heading1"/>
        <w:jc w:val="left"/>
        <w:rPr>
          <w:rFonts w:ascii="Calibri" w:hAnsi="Calibri"/>
        </w:rPr>
        <w:sectPr w:rsidR="004D00F6" w:rsidRPr="0093655C" w:rsidSect="00B512C9">
          <w:headerReference w:type="default" r:id="rId12"/>
          <w:footerReference w:type="first" r:id="rId13"/>
          <w:pgSz w:w="12240" w:h="15840" w:code="1"/>
          <w:pgMar w:top="1008" w:right="1440" w:bottom="864" w:left="1440" w:header="288" w:footer="389" w:gutter="0"/>
          <w:cols w:space="720"/>
          <w:titlePg/>
        </w:sectPr>
      </w:pPr>
      <w:r w:rsidRPr="00341238">
        <w:rPr>
          <w:rFonts w:ascii="Calibri" w:hAnsi="Calibri"/>
        </w:rPr>
        <w:fldChar w:fldCharType="end"/>
      </w:r>
      <w:bookmarkStart w:id="0" w:name="_Toc101848172"/>
    </w:p>
    <w:p w:rsidR="00295911" w:rsidRDefault="00295911" w:rsidP="00295911">
      <w:pPr>
        <w:pStyle w:val="MyHeading"/>
      </w:pPr>
      <w:bookmarkStart w:id="1" w:name="_Toc387069205"/>
      <w:bookmarkEnd w:id="0"/>
      <w:r w:rsidRPr="00003579">
        <w:lastRenderedPageBreak/>
        <w:t>Overview</w:t>
      </w:r>
      <w:bookmarkEnd w:id="1"/>
    </w:p>
    <w:p w:rsidR="00295911" w:rsidRDefault="000D198D" w:rsidP="0093655C">
      <w:pPr>
        <w:tabs>
          <w:tab w:val="clear" w:pos="360"/>
        </w:tabs>
        <w:autoSpaceDE w:val="0"/>
        <w:autoSpaceDN w:val="0"/>
        <w:adjustRightInd w:val="0"/>
        <w:spacing w:after="0"/>
        <w:ind w:left="0"/>
        <w:rPr>
          <w:rFonts w:ascii="Calibri" w:hAnsi="Calibri"/>
        </w:rPr>
      </w:pPr>
      <w:r w:rsidRPr="000D198D">
        <w:rPr>
          <w:rFonts w:asciiTheme="majorHAnsi" w:hAnsiTheme="majorHAnsi"/>
          <w:sz w:val="16"/>
          <w:szCs w:val="16"/>
        </w:rPr>
        <w:pict>
          <v:rect id="_x0000_i1026" style="width:468pt;height:1.5pt" o:hralign="center" o:hrstd="t" o:hr="t" fillcolor="#a0a0a0" stroked="f"/>
        </w:pict>
      </w:r>
    </w:p>
    <w:p w:rsidR="00295911" w:rsidRPr="0086018D" w:rsidRDefault="00295911" w:rsidP="0086018D">
      <w:pPr>
        <w:pStyle w:val="HelpTopic"/>
        <w:rPr>
          <w:sz w:val="32"/>
          <w:szCs w:val="32"/>
        </w:rPr>
      </w:pPr>
      <w:bookmarkStart w:id="2" w:name="_Toc387069206"/>
      <w:r>
        <w:t xml:space="preserve">About these </w:t>
      </w:r>
      <w:proofErr w:type="gramStart"/>
      <w:r w:rsidR="00E309A4">
        <w:t>new year</w:t>
      </w:r>
      <w:proofErr w:type="gramEnd"/>
      <w:r w:rsidR="00E309A4">
        <w:t xml:space="preserve"> start-up</w:t>
      </w:r>
      <w:r>
        <w:t xml:space="preserve"> instructions</w:t>
      </w:r>
      <w:bookmarkEnd w:id="2"/>
    </w:p>
    <w:p w:rsidR="006821B3" w:rsidRPr="0086018D" w:rsidRDefault="00295911" w:rsidP="0086018D">
      <w:pPr>
        <w:tabs>
          <w:tab w:val="clear" w:pos="360"/>
        </w:tabs>
        <w:spacing w:after="200" w:line="276" w:lineRule="auto"/>
        <w:ind w:left="0"/>
        <w:rPr>
          <w:rFonts w:asciiTheme="minorHAnsi" w:eastAsiaTheme="minorHAnsi" w:hAnsiTheme="minorHAnsi" w:cstheme="minorBidi"/>
          <w:szCs w:val="24"/>
        </w:rPr>
      </w:pPr>
      <w:r w:rsidRPr="0086018D">
        <w:rPr>
          <w:rFonts w:asciiTheme="minorHAnsi" w:eastAsiaTheme="minorHAnsi" w:hAnsiTheme="minorHAnsi" w:cstheme="minorBidi"/>
          <w:szCs w:val="24"/>
        </w:rPr>
        <w:t xml:space="preserve">This package provides instructions to </w:t>
      </w:r>
      <w:r w:rsidR="00E309A4" w:rsidRPr="0086018D">
        <w:rPr>
          <w:rFonts w:asciiTheme="minorHAnsi" w:eastAsiaTheme="minorHAnsi" w:hAnsiTheme="minorHAnsi" w:cstheme="minorBidi"/>
          <w:szCs w:val="24"/>
        </w:rPr>
        <w:t>start-up FY 2015</w:t>
      </w:r>
      <w:r w:rsidRPr="0086018D">
        <w:rPr>
          <w:rFonts w:asciiTheme="minorHAnsi" w:eastAsiaTheme="minorHAnsi" w:hAnsiTheme="minorHAnsi" w:cstheme="minorBidi"/>
          <w:szCs w:val="24"/>
        </w:rPr>
        <w:t xml:space="preserve"> from a budget execution perspective, as offered by the Department of Planning and Budget (DPB).  Typically, DPB provides instructions for year-end close and </w:t>
      </w:r>
      <w:proofErr w:type="gramStart"/>
      <w:r w:rsidRPr="0086018D">
        <w:rPr>
          <w:rFonts w:asciiTheme="minorHAnsi" w:eastAsiaTheme="minorHAnsi" w:hAnsiTheme="minorHAnsi" w:cstheme="minorBidi"/>
          <w:szCs w:val="24"/>
        </w:rPr>
        <w:t>new year</w:t>
      </w:r>
      <w:proofErr w:type="gramEnd"/>
      <w:r w:rsidRPr="0086018D">
        <w:rPr>
          <w:rFonts w:asciiTheme="minorHAnsi" w:eastAsiaTheme="minorHAnsi" w:hAnsiTheme="minorHAnsi" w:cstheme="minorBidi"/>
          <w:szCs w:val="24"/>
        </w:rPr>
        <w:t xml:space="preserve"> start-up in one package.  </w:t>
      </w:r>
      <w:r w:rsidR="00E309A4" w:rsidRPr="0086018D">
        <w:rPr>
          <w:rFonts w:asciiTheme="minorHAnsi" w:eastAsiaTheme="minorHAnsi" w:hAnsiTheme="minorHAnsi" w:cstheme="minorBidi"/>
          <w:szCs w:val="24"/>
        </w:rPr>
        <w:t xml:space="preserve">However, the </w:t>
      </w:r>
      <w:r w:rsidRPr="0086018D">
        <w:rPr>
          <w:rFonts w:asciiTheme="minorHAnsi" w:eastAsiaTheme="minorHAnsi" w:hAnsiTheme="minorHAnsi" w:cstheme="minorBidi"/>
          <w:szCs w:val="24"/>
        </w:rPr>
        <w:t xml:space="preserve">budget for the 2014-2016 </w:t>
      </w:r>
      <w:proofErr w:type="gramStart"/>
      <w:r w:rsidRPr="0086018D">
        <w:rPr>
          <w:rFonts w:asciiTheme="minorHAnsi" w:eastAsiaTheme="minorHAnsi" w:hAnsiTheme="minorHAnsi" w:cstheme="minorBidi"/>
          <w:szCs w:val="24"/>
        </w:rPr>
        <w:t>biennium</w:t>
      </w:r>
      <w:proofErr w:type="gramEnd"/>
      <w:r w:rsidR="00E309A4" w:rsidRPr="0086018D">
        <w:rPr>
          <w:rFonts w:asciiTheme="minorHAnsi" w:eastAsiaTheme="minorHAnsi" w:hAnsiTheme="minorHAnsi" w:cstheme="minorBidi"/>
          <w:szCs w:val="24"/>
        </w:rPr>
        <w:t xml:space="preserve"> was </w:t>
      </w:r>
      <w:r w:rsidR="00325538">
        <w:rPr>
          <w:rFonts w:asciiTheme="minorHAnsi" w:eastAsiaTheme="minorHAnsi" w:hAnsiTheme="minorHAnsi" w:cstheme="minorBidi"/>
          <w:szCs w:val="24"/>
        </w:rPr>
        <w:t xml:space="preserve">passed </w:t>
      </w:r>
      <w:r w:rsidR="00E309A4" w:rsidRPr="0086018D">
        <w:rPr>
          <w:rFonts w:asciiTheme="minorHAnsi" w:eastAsiaTheme="minorHAnsi" w:hAnsiTheme="minorHAnsi" w:cstheme="minorBidi"/>
          <w:szCs w:val="24"/>
        </w:rPr>
        <w:t xml:space="preserve">later than usual, </w:t>
      </w:r>
      <w:r w:rsidR="00843D9E">
        <w:rPr>
          <w:rFonts w:asciiTheme="minorHAnsi" w:eastAsiaTheme="minorHAnsi" w:hAnsiTheme="minorHAnsi" w:cstheme="minorBidi"/>
          <w:szCs w:val="24"/>
        </w:rPr>
        <w:t>requiring</w:t>
      </w:r>
      <w:r w:rsidR="00E309A4" w:rsidRPr="0086018D">
        <w:rPr>
          <w:rFonts w:asciiTheme="minorHAnsi" w:eastAsiaTheme="minorHAnsi" w:hAnsiTheme="minorHAnsi" w:cstheme="minorBidi"/>
          <w:szCs w:val="24"/>
        </w:rPr>
        <w:t xml:space="preserve"> DPB to send out the year-end close instructions separately in May</w:t>
      </w:r>
      <w:r w:rsidRPr="0086018D">
        <w:rPr>
          <w:rFonts w:asciiTheme="minorHAnsi" w:eastAsiaTheme="minorHAnsi" w:hAnsiTheme="minorHAnsi" w:cstheme="minorBidi"/>
          <w:szCs w:val="24"/>
        </w:rPr>
        <w:t xml:space="preserve">.  It should be noted that the Department of Accounts </w:t>
      </w:r>
      <w:r w:rsidR="00E309A4" w:rsidRPr="0086018D">
        <w:rPr>
          <w:rFonts w:asciiTheme="minorHAnsi" w:eastAsiaTheme="minorHAnsi" w:hAnsiTheme="minorHAnsi" w:cstheme="minorBidi"/>
          <w:szCs w:val="24"/>
        </w:rPr>
        <w:t>(DOA) has issued</w:t>
      </w:r>
      <w:r w:rsidRPr="0086018D">
        <w:rPr>
          <w:rFonts w:asciiTheme="minorHAnsi" w:eastAsiaTheme="minorHAnsi" w:hAnsiTheme="minorHAnsi" w:cstheme="minorBidi"/>
          <w:szCs w:val="24"/>
        </w:rPr>
        <w:t xml:space="preserve"> a separate memorandum</w:t>
      </w:r>
      <w:r w:rsidR="00E309A4" w:rsidRPr="0086018D">
        <w:rPr>
          <w:rFonts w:asciiTheme="minorHAnsi" w:eastAsiaTheme="minorHAnsi" w:hAnsiTheme="minorHAnsi" w:cstheme="minorBidi"/>
          <w:szCs w:val="24"/>
        </w:rPr>
        <w:t>(s)</w:t>
      </w:r>
      <w:r w:rsidRPr="0086018D">
        <w:rPr>
          <w:rFonts w:asciiTheme="minorHAnsi" w:eastAsiaTheme="minorHAnsi" w:hAnsiTheme="minorHAnsi" w:cstheme="minorBidi"/>
          <w:szCs w:val="24"/>
        </w:rPr>
        <w:t xml:space="preserve"> detailing </w:t>
      </w:r>
      <w:r w:rsidR="00E309A4" w:rsidRPr="0086018D">
        <w:rPr>
          <w:rFonts w:asciiTheme="minorHAnsi" w:eastAsiaTheme="minorHAnsi" w:hAnsiTheme="minorHAnsi" w:cstheme="minorBidi"/>
          <w:szCs w:val="24"/>
        </w:rPr>
        <w:t xml:space="preserve">year-end close and </w:t>
      </w:r>
      <w:proofErr w:type="gramStart"/>
      <w:r w:rsidR="00E309A4" w:rsidRPr="0086018D">
        <w:rPr>
          <w:rFonts w:asciiTheme="minorHAnsi" w:eastAsiaTheme="minorHAnsi" w:hAnsiTheme="minorHAnsi" w:cstheme="minorBidi"/>
          <w:szCs w:val="24"/>
        </w:rPr>
        <w:t>new year</w:t>
      </w:r>
      <w:proofErr w:type="gramEnd"/>
      <w:r w:rsidR="00E309A4" w:rsidRPr="0086018D">
        <w:rPr>
          <w:rFonts w:asciiTheme="minorHAnsi" w:eastAsiaTheme="minorHAnsi" w:hAnsiTheme="minorHAnsi" w:cstheme="minorBidi"/>
          <w:szCs w:val="24"/>
        </w:rPr>
        <w:t xml:space="preserve"> start-up </w:t>
      </w:r>
      <w:r w:rsidRPr="0086018D">
        <w:rPr>
          <w:rFonts w:asciiTheme="minorHAnsi" w:eastAsiaTheme="minorHAnsi" w:hAnsiTheme="minorHAnsi" w:cstheme="minorBidi"/>
          <w:szCs w:val="24"/>
        </w:rPr>
        <w:t xml:space="preserve">procedures and payroll information </w:t>
      </w:r>
      <w:r w:rsidR="00E309A4" w:rsidRPr="0086018D">
        <w:rPr>
          <w:rFonts w:asciiTheme="minorHAnsi" w:eastAsiaTheme="minorHAnsi" w:hAnsiTheme="minorHAnsi" w:cstheme="minorBidi"/>
          <w:szCs w:val="24"/>
        </w:rPr>
        <w:t>from an accounting perspective</w:t>
      </w:r>
      <w:r w:rsidRPr="0086018D">
        <w:rPr>
          <w:rFonts w:asciiTheme="minorHAnsi" w:eastAsiaTheme="minorHAnsi" w:hAnsiTheme="minorHAnsi" w:cstheme="minorBidi"/>
          <w:szCs w:val="24"/>
        </w:rPr>
        <w:t>.</w:t>
      </w:r>
    </w:p>
    <w:p w:rsidR="0086018D" w:rsidRPr="0086018D" w:rsidRDefault="0086018D" w:rsidP="0086018D">
      <w:pPr>
        <w:tabs>
          <w:tab w:val="clear" w:pos="360"/>
        </w:tabs>
        <w:spacing w:after="200" w:line="276" w:lineRule="auto"/>
        <w:ind w:left="0"/>
        <w:rPr>
          <w:rFonts w:asciiTheme="minorHAnsi" w:eastAsiaTheme="minorHAnsi" w:hAnsiTheme="minorHAnsi" w:cstheme="minorBidi"/>
          <w:szCs w:val="24"/>
        </w:rPr>
      </w:pPr>
      <w:r w:rsidRPr="0086018D">
        <w:rPr>
          <w:rFonts w:asciiTheme="minorHAnsi" w:eastAsiaTheme="minorHAnsi" w:hAnsiTheme="minorHAnsi" w:cstheme="minorBidi"/>
          <w:szCs w:val="24"/>
        </w:rPr>
        <w:t>The following are definitions of key terms used in these instructions:</w:t>
      </w:r>
    </w:p>
    <w:p w:rsidR="0086018D" w:rsidRPr="0086018D" w:rsidRDefault="0086018D" w:rsidP="0086018D">
      <w:pPr>
        <w:pStyle w:val="StyleTimesNewRomanAfter4pt"/>
        <w:numPr>
          <w:ilvl w:val="0"/>
          <w:numId w:val="2"/>
        </w:numPr>
        <w:tabs>
          <w:tab w:val="clear" w:pos="360"/>
          <w:tab w:val="left" w:pos="720"/>
        </w:tabs>
        <w:spacing w:before="0" w:after="0"/>
        <w:ind w:left="720"/>
        <w:rPr>
          <w:rFonts w:asciiTheme="minorHAnsi" w:hAnsiTheme="minorHAnsi"/>
        </w:rPr>
      </w:pPr>
      <w:r w:rsidRPr="00295911">
        <w:rPr>
          <w:rFonts w:asciiTheme="minorHAnsi" w:hAnsiTheme="minorHAnsi"/>
          <w:b/>
        </w:rPr>
        <w:t xml:space="preserve">2014 Appropriation Act </w:t>
      </w:r>
      <w:r w:rsidRPr="0086018D">
        <w:rPr>
          <w:rFonts w:asciiTheme="minorHAnsi" w:hAnsiTheme="minorHAnsi"/>
        </w:rPr>
        <w:t xml:space="preserve">means the Appropriation Act for the 2014-2016 </w:t>
      </w:r>
      <w:proofErr w:type="gramStart"/>
      <w:r w:rsidRPr="0086018D">
        <w:rPr>
          <w:rFonts w:asciiTheme="minorHAnsi" w:hAnsiTheme="minorHAnsi"/>
        </w:rPr>
        <w:t>biennium</w:t>
      </w:r>
      <w:proofErr w:type="gramEnd"/>
      <w:r w:rsidRPr="0086018D">
        <w:rPr>
          <w:rFonts w:asciiTheme="minorHAnsi" w:hAnsiTheme="minorHAnsi"/>
        </w:rPr>
        <w:t>, as passed by the 2014 session of the General Assembly.</w:t>
      </w:r>
    </w:p>
    <w:p w:rsidR="0086018D" w:rsidRPr="0086018D" w:rsidRDefault="0086018D" w:rsidP="0086018D">
      <w:pPr>
        <w:pStyle w:val="StyleTimesNewRomanAfter4pt"/>
        <w:numPr>
          <w:ilvl w:val="0"/>
          <w:numId w:val="2"/>
        </w:numPr>
        <w:tabs>
          <w:tab w:val="clear" w:pos="360"/>
          <w:tab w:val="left" w:pos="720"/>
        </w:tabs>
        <w:spacing w:before="0" w:after="0"/>
        <w:ind w:left="720"/>
        <w:rPr>
          <w:rFonts w:asciiTheme="minorHAnsi" w:hAnsiTheme="minorHAnsi"/>
        </w:rPr>
      </w:pPr>
      <w:r w:rsidRPr="00295911">
        <w:rPr>
          <w:rFonts w:asciiTheme="minorHAnsi" w:hAnsiTheme="minorHAnsi"/>
          <w:b/>
        </w:rPr>
        <w:t xml:space="preserve">FY 2014 </w:t>
      </w:r>
      <w:r w:rsidRPr="0086018D">
        <w:rPr>
          <w:rFonts w:asciiTheme="minorHAnsi" w:hAnsiTheme="minorHAnsi"/>
        </w:rPr>
        <w:t>means the fiscal year beginning July 1, 2013, and ending on June 30, 2014.</w:t>
      </w:r>
    </w:p>
    <w:p w:rsidR="0086018D" w:rsidRDefault="0086018D" w:rsidP="0086018D">
      <w:pPr>
        <w:pStyle w:val="StyleTimesNewRomanAfter4pt"/>
        <w:numPr>
          <w:ilvl w:val="0"/>
          <w:numId w:val="2"/>
        </w:numPr>
        <w:tabs>
          <w:tab w:val="clear" w:pos="360"/>
          <w:tab w:val="left" w:pos="720"/>
        </w:tabs>
        <w:spacing w:before="0" w:after="0"/>
        <w:ind w:left="720"/>
        <w:rPr>
          <w:rFonts w:asciiTheme="minorHAnsi" w:hAnsiTheme="minorHAnsi"/>
        </w:rPr>
      </w:pPr>
      <w:r w:rsidRPr="00295911">
        <w:rPr>
          <w:rFonts w:asciiTheme="minorHAnsi" w:hAnsiTheme="minorHAnsi"/>
          <w:b/>
        </w:rPr>
        <w:t xml:space="preserve">FY 2015 </w:t>
      </w:r>
      <w:r w:rsidRPr="0086018D">
        <w:rPr>
          <w:rFonts w:asciiTheme="minorHAnsi" w:hAnsiTheme="minorHAnsi"/>
        </w:rPr>
        <w:t xml:space="preserve">means the fiscal year beginning July 1, 2014, and ending on June 30, 2015. </w:t>
      </w:r>
    </w:p>
    <w:p w:rsidR="00690CCA" w:rsidRPr="0086018D" w:rsidRDefault="00690CCA" w:rsidP="0086018D">
      <w:pPr>
        <w:pStyle w:val="StyleTimesNewRomanAfter4pt"/>
        <w:numPr>
          <w:ilvl w:val="0"/>
          <w:numId w:val="2"/>
        </w:numPr>
        <w:tabs>
          <w:tab w:val="clear" w:pos="360"/>
          <w:tab w:val="left" w:pos="720"/>
        </w:tabs>
        <w:spacing w:before="0" w:after="0"/>
        <w:ind w:left="720"/>
        <w:rPr>
          <w:rFonts w:asciiTheme="minorHAnsi" w:hAnsiTheme="minorHAnsi"/>
        </w:rPr>
      </w:pPr>
      <w:r>
        <w:rPr>
          <w:rFonts w:asciiTheme="minorHAnsi" w:hAnsiTheme="minorHAnsi"/>
          <w:b/>
        </w:rPr>
        <w:t xml:space="preserve">PB system </w:t>
      </w:r>
      <w:r w:rsidRPr="0086018D">
        <w:rPr>
          <w:rFonts w:asciiTheme="minorHAnsi" w:hAnsiTheme="minorHAnsi"/>
        </w:rPr>
        <w:t>means the</w:t>
      </w:r>
      <w:r>
        <w:rPr>
          <w:rFonts w:asciiTheme="minorHAnsi" w:hAnsiTheme="minorHAnsi"/>
        </w:rPr>
        <w:t xml:space="preserve"> Commonwealth’s Performance Budgeting System.</w:t>
      </w:r>
    </w:p>
    <w:p w:rsidR="0086018D" w:rsidRPr="0086018D" w:rsidRDefault="0086018D" w:rsidP="0086018D">
      <w:pPr>
        <w:pStyle w:val="BodyTextIndent"/>
        <w:spacing w:after="0"/>
        <w:ind w:left="360" w:firstLine="0"/>
        <w:rPr>
          <w:rFonts w:ascii="Calibri" w:hAnsi="Calibri"/>
        </w:rPr>
      </w:pPr>
    </w:p>
    <w:p w:rsidR="0086018D" w:rsidRDefault="0086018D" w:rsidP="0086018D">
      <w:pPr>
        <w:pStyle w:val="HelpTopic"/>
      </w:pPr>
      <w:bookmarkStart w:id="3" w:name="_Toc387069209"/>
      <w:r>
        <w:t xml:space="preserve">Budget execution </w:t>
      </w:r>
      <w:proofErr w:type="gramStart"/>
      <w:r>
        <w:t>new year</w:t>
      </w:r>
      <w:proofErr w:type="gramEnd"/>
      <w:r>
        <w:t xml:space="preserve"> start-up </w:t>
      </w:r>
      <w:bookmarkEnd w:id="3"/>
      <w:r w:rsidR="00653A9D">
        <w:t>deadlines</w:t>
      </w:r>
    </w:p>
    <w:p w:rsidR="00843D9E" w:rsidRDefault="00843D9E" w:rsidP="0086018D">
      <w:pPr>
        <w:tabs>
          <w:tab w:val="clear" w:pos="360"/>
        </w:tabs>
        <w:spacing w:after="200" w:line="276" w:lineRule="auto"/>
        <w:ind w:left="0"/>
        <w:rPr>
          <w:rFonts w:asciiTheme="minorHAnsi" w:eastAsiaTheme="minorHAnsi" w:hAnsiTheme="minorHAnsi" w:cstheme="minorBidi"/>
          <w:szCs w:val="24"/>
        </w:rPr>
      </w:pPr>
      <w:r>
        <w:rPr>
          <w:rFonts w:asciiTheme="minorHAnsi" w:eastAsiaTheme="minorHAnsi" w:hAnsiTheme="minorHAnsi" w:cstheme="minorBidi"/>
          <w:szCs w:val="24"/>
        </w:rPr>
        <w:t xml:space="preserve">Typically, the deadlines involved with </w:t>
      </w:r>
      <w:proofErr w:type="gramStart"/>
      <w:r>
        <w:rPr>
          <w:rFonts w:asciiTheme="minorHAnsi" w:eastAsiaTheme="minorHAnsi" w:hAnsiTheme="minorHAnsi" w:cstheme="minorBidi"/>
          <w:szCs w:val="24"/>
        </w:rPr>
        <w:t>new year</w:t>
      </w:r>
      <w:proofErr w:type="gramEnd"/>
      <w:r>
        <w:rPr>
          <w:rFonts w:asciiTheme="minorHAnsi" w:eastAsiaTheme="minorHAnsi" w:hAnsiTheme="minorHAnsi" w:cstheme="minorBidi"/>
          <w:szCs w:val="24"/>
        </w:rPr>
        <w:t xml:space="preserve"> start-up involve the announcement of the opening of the Performance Budgeting system for the entry of new year transactions and the deadlines for getting transactions entered that must be in place by July 1.  However, due to the lateness of the approved budget, at the issuance of these instructions, the Performance Budgeting system is already open for FY 2015 transactions and anything that must be in place prior to July 1, should be entered as soon as possible.  </w:t>
      </w:r>
    </w:p>
    <w:p w:rsidR="008E70B6" w:rsidRPr="0086018D" w:rsidRDefault="00843D9E" w:rsidP="0086018D">
      <w:pPr>
        <w:tabs>
          <w:tab w:val="clear" w:pos="360"/>
        </w:tabs>
        <w:spacing w:after="200" w:line="276" w:lineRule="auto"/>
        <w:ind w:left="0"/>
        <w:rPr>
          <w:rFonts w:asciiTheme="minorHAnsi" w:eastAsiaTheme="minorHAnsi" w:hAnsiTheme="minorHAnsi" w:cstheme="minorBidi"/>
          <w:szCs w:val="24"/>
        </w:rPr>
      </w:pPr>
      <w:r>
        <w:rPr>
          <w:rFonts w:asciiTheme="minorHAnsi" w:eastAsiaTheme="minorHAnsi" w:hAnsiTheme="minorHAnsi" w:cstheme="minorBidi"/>
          <w:szCs w:val="24"/>
        </w:rPr>
        <w:t xml:space="preserve">Other </w:t>
      </w:r>
      <w:r w:rsidR="005A3E47" w:rsidRPr="0086018D">
        <w:rPr>
          <w:rFonts w:asciiTheme="minorHAnsi" w:eastAsiaTheme="minorHAnsi" w:hAnsiTheme="minorHAnsi" w:cstheme="minorBidi"/>
          <w:szCs w:val="24"/>
        </w:rPr>
        <w:t xml:space="preserve">significant </w:t>
      </w:r>
      <w:r w:rsidR="00053EBC" w:rsidRPr="0086018D">
        <w:rPr>
          <w:rFonts w:asciiTheme="minorHAnsi" w:eastAsiaTheme="minorHAnsi" w:hAnsiTheme="minorHAnsi" w:cstheme="minorBidi"/>
          <w:szCs w:val="24"/>
        </w:rPr>
        <w:t>budget</w:t>
      </w:r>
      <w:r w:rsidR="005A3E47" w:rsidRPr="0086018D">
        <w:rPr>
          <w:rFonts w:asciiTheme="minorHAnsi" w:eastAsiaTheme="minorHAnsi" w:hAnsiTheme="minorHAnsi" w:cstheme="minorBidi"/>
          <w:szCs w:val="24"/>
        </w:rPr>
        <w:t xml:space="preserve"> d</w:t>
      </w:r>
      <w:r w:rsidR="00766E7F" w:rsidRPr="0086018D">
        <w:rPr>
          <w:rFonts w:asciiTheme="minorHAnsi" w:eastAsiaTheme="minorHAnsi" w:hAnsiTheme="minorHAnsi" w:cstheme="minorBidi"/>
          <w:szCs w:val="24"/>
        </w:rPr>
        <w:t xml:space="preserve">eadlines </w:t>
      </w:r>
      <w:r w:rsidR="005A3E47" w:rsidRPr="0086018D">
        <w:rPr>
          <w:rFonts w:asciiTheme="minorHAnsi" w:eastAsiaTheme="minorHAnsi" w:hAnsiTheme="minorHAnsi" w:cstheme="minorBidi"/>
          <w:szCs w:val="24"/>
        </w:rPr>
        <w:t xml:space="preserve">for </w:t>
      </w:r>
      <w:proofErr w:type="gramStart"/>
      <w:r w:rsidR="005A3E47" w:rsidRPr="0086018D">
        <w:rPr>
          <w:rFonts w:asciiTheme="minorHAnsi" w:eastAsiaTheme="minorHAnsi" w:hAnsiTheme="minorHAnsi" w:cstheme="minorBidi"/>
          <w:szCs w:val="24"/>
        </w:rPr>
        <w:t>new year</w:t>
      </w:r>
      <w:proofErr w:type="gramEnd"/>
      <w:r w:rsidR="005A3E47" w:rsidRPr="0086018D">
        <w:rPr>
          <w:rFonts w:asciiTheme="minorHAnsi" w:eastAsiaTheme="minorHAnsi" w:hAnsiTheme="minorHAnsi" w:cstheme="minorBidi"/>
          <w:szCs w:val="24"/>
        </w:rPr>
        <w:t xml:space="preserve"> start-up </w:t>
      </w:r>
      <w:r w:rsidR="008C0744" w:rsidRPr="0086018D">
        <w:rPr>
          <w:rFonts w:asciiTheme="minorHAnsi" w:eastAsiaTheme="minorHAnsi" w:hAnsiTheme="minorHAnsi" w:cstheme="minorBidi"/>
          <w:szCs w:val="24"/>
        </w:rPr>
        <w:t>a</w:t>
      </w:r>
      <w:r w:rsidR="005A3E47" w:rsidRPr="0086018D">
        <w:rPr>
          <w:rFonts w:asciiTheme="minorHAnsi" w:eastAsiaTheme="minorHAnsi" w:hAnsiTheme="minorHAnsi" w:cstheme="minorBidi"/>
          <w:szCs w:val="24"/>
        </w:rPr>
        <w:t>ctions are</w:t>
      </w:r>
      <w:r w:rsidR="00EB44A5" w:rsidRPr="0086018D">
        <w:rPr>
          <w:rFonts w:asciiTheme="minorHAnsi" w:eastAsiaTheme="minorHAnsi" w:hAnsiTheme="minorHAnsi" w:cstheme="minorBidi"/>
          <w:szCs w:val="24"/>
        </w:rPr>
        <w:t xml:space="preserve"> as follows</w:t>
      </w:r>
      <w:r w:rsidR="005A3E47" w:rsidRPr="0086018D">
        <w:rPr>
          <w:rFonts w:asciiTheme="minorHAnsi" w:eastAsiaTheme="minorHAnsi" w:hAnsiTheme="minorHAnsi" w:cstheme="minorBidi"/>
          <w:szCs w:val="24"/>
        </w:rPr>
        <w:t>:</w:t>
      </w:r>
      <w:r w:rsidR="008E70B6">
        <w:rPr>
          <w:rFonts w:asciiTheme="minorHAnsi" w:eastAsiaTheme="minorHAnsi" w:hAnsiTheme="minorHAnsi" w:cstheme="minorBidi"/>
          <w:szCs w:val="24"/>
        </w:rPr>
        <w:br/>
      </w:r>
    </w:p>
    <w:tbl>
      <w:tblPr>
        <w:tblW w:w="9020" w:type="dxa"/>
        <w:tblInd w:w="468" w:type="dxa"/>
        <w:tblLook w:val="04A0"/>
      </w:tblPr>
      <w:tblGrid>
        <w:gridCol w:w="2320"/>
        <w:gridCol w:w="6700"/>
      </w:tblGrid>
      <w:tr w:rsidR="00D26E10" w:rsidRPr="00D26E10" w:rsidTr="00D26E10">
        <w:trPr>
          <w:cantSplit/>
          <w:trHeight w:val="315"/>
        </w:trPr>
        <w:tc>
          <w:tcPr>
            <w:tcW w:w="2320" w:type="dxa"/>
            <w:tcBorders>
              <w:top w:val="single" w:sz="8" w:space="0" w:color="auto"/>
              <w:left w:val="single" w:sz="8" w:space="0" w:color="auto"/>
              <w:bottom w:val="single" w:sz="8" w:space="0" w:color="auto"/>
              <w:right w:val="single" w:sz="8" w:space="0" w:color="auto"/>
            </w:tcBorders>
            <w:shd w:val="clear" w:color="000000" w:fill="B8CCE4"/>
            <w:hideMark/>
          </w:tcPr>
          <w:p w:rsidR="00D26E10" w:rsidRPr="00D26E10" w:rsidRDefault="00D26E10" w:rsidP="00D26E10">
            <w:pPr>
              <w:tabs>
                <w:tab w:val="clear" w:pos="360"/>
              </w:tabs>
              <w:spacing w:after="0"/>
              <w:ind w:left="0"/>
              <w:jc w:val="center"/>
              <w:rPr>
                <w:rFonts w:ascii="Calibri" w:hAnsi="Calibri"/>
                <w:b/>
                <w:bCs/>
                <w:i/>
                <w:iCs/>
                <w:color w:val="000000"/>
                <w:sz w:val="22"/>
                <w:szCs w:val="22"/>
              </w:rPr>
            </w:pPr>
            <w:r w:rsidRPr="00D26E10">
              <w:rPr>
                <w:rFonts w:ascii="Calibri" w:hAnsi="Calibri"/>
                <w:b/>
                <w:bCs/>
                <w:i/>
                <w:iCs/>
                <w:color w:val="000000"/>
                <w:sz w:val="22"/>
              </w:rPr>
              <w:t>Date</w:t>
            </w:r>
          </w:p>
        </w:tc>
        <w:tc>
          <w:tcPr>
            <w:tcW w:w="6700" w:type="dxa"/>
            <w:tcBorders>
              <w:top w:val="single" w:sz="8" w:space="0" w:color="auto"/>
              <w:left w:val="nil"/>
              <w:bottom w:val="single" w:sz="8" w:space="0" w:color="auto"/>
              <w:right w:val="single" w:sz="8" w:space="0" w:color="auto"/>
            </w:tcBorders>
            <w:shd w:val="clear" w:color="000000" w:fill="B8CCE4"/>
            <w:hideMark/>
          </w:tcPr>
          <w:p w:rsidR="00D26E10" w:rsidRPr="00D26E10" w:rsidRDefault="00D26E10" w:rsidP="00D26E10">
            <w:pPr>
              <w:tabs>
                <w:tab w:val="clear" w:pos="360"/>
              </w:tabs>
              <w:spacing w:after="0"/>
              <w:ind w:left="0"/>
              <w:jc w:val="center"/>
              <w:rPr>
                <w:rFonts w:ascii="Calibri" w:hAnsi="Calibri"/>
                <w:b/>
                <w:bCs/>
                <w:i/>
                <w:iCs/>
                <w:color w:val="000000"/>
                <w:sz w:val="22"/>
                <w:szCs w:val="22"/>
              </w:rPr>
            </w:pPr>
            <w:r w:rsidRPr="00D26E10">
              <w:rPr>
                <w:rFonts w:ascii="Calibri" w:hAnsi="Calibri"/>
                <w:b/>
                <w:bCs/>
                <w:i/>
                <w:iCs/>
                <w:color w:val="000000"/>
                <w:sz w:val="22"/>
              </w:rPr>
              <w:t>Action</w:t>
            </w:r>
          </w:p>
        </w:tc>
      </w:tr>
      <w:tr w:rsidR="00D26E10" w:rsidRPr="00D26E10" w:rsidTr="00D26E10">
        <w:trPr>
          <w:cantSplit/>
          <w:trHeight w:val="645"/>
        </w:trPr>
        <w:tc>
          <w:tcPr>
            <w:tcW w:w="2320" w:type="dxa"/>
            <w:tcBorders>
              <w:top w:val="nil"/>
              <w:left w:val="single" w:sz="8" w:space="0" w:color="auto"/>
              <w:bottom w:val="single" w:sz="8" w:space="0" w:color="auto"/>
              <w:right w:val="single" w:sz="8" w:space="0" w:color="auto"/>
            </w:tcBorders>
            <w:shd w:val="clear" w:color="auto" w:fill="auto"/>
            <w:hideMark/>
          </w:tcPr>
          <w:p w:rsidR="00D26E10" w:rsidRPr="00D26E10" w:rsidRDefault="004F4F3F" w:rsidP="00D26E10">
            <w:pPr>
              <w:tabs>
                <w:tab w:val="clear" w:pos="360"/>
              </w:tabs>
              <w:spacing w:after="0"/>
              <w:ind w:left="0"/>
              <w:jc w:val="center"/>
              <w:rPr>
                <w:rFonts w:ascii="Calibri" w:hAnsi="Calibri"/>
                <w:b/>
                <w:bCs/>
                <w:color w:val="000000"/>
                <w:szCs w:val="24"/>
              </w:rPr>
            </w:pPr>
            <w:r>
              <w:rPr>
                <w:rFonts w:ascii="Calibri" w:hAnsi="Calibri"/>
                <w:b/>
                <w:bCs/>
                <w:color w:val="000000"/>
                <w:szCs w:val="24"/>
              </w:rPr>
              <w:t>August 1, 2014</w:t>
            </w:r>
          </w:p>
        </w:tc>
        <w:tc>
          <w:tcPr>
            <w:tcW w:w="6700" w:type="dxa"/>
            <w:tcBorders>
              <w:top w:val="nil"/>
              <w:left w:val="nil"/>
              <w:bottom w:val="single" w:sz="8" w:space="0" w:color="auto"/>
              <w:right w:val="single" w:sz="8" w:space="0" w:color="auto"/>
            </w:tcBorders>
            <w:shd w:val="clear" w:color="auto" w:fill="auto"/>
            <w:hideMark/>
          </w:tcPr>
          <w:p w:rsidR="00D26E10" w:rsidRPr="00D26E10" w:rsidRDefault="008E70B6" w:rsidP="00F55C16">
            <w:pPr>
              <w:tabs>
                <w:tab w:val="clear" w:pos="360"/>
              </w:tabs>
              <w:spacing w:after="0"/>
              <w:ind w:left="0"/>
              <w:rPr>
                <w:rFonts w:ascii="Calibri" w:hAnsi="Calibri"/>
                <w:color w:val="000000"/>
                <w:szCs w:val="24"/>
              </w:rPr>
            </w:pPr>
            <w:r>
              <w:rPr>
                <w:rFonts w:ascii="Calibri" w:hAnsi="Calibri"/>
                <w:color w:val="000000"/>
                <w:szCs w:val="24"/>
              </w:rPr>
              <w:t xml:space="preserve">Deadline for agencies to return the signed deficit acknowledgement form </w:t>
            </w:r>
            <w:r w:rsidR="00E87E62">
              <w:rPr>
                <w:rFonts w:ascii="Calibri" w:hAnsi="Calibri"/>
                <w:color w:val="000000"/>
                <w:szCs w:val="24"/>
              </w:rPr>
              <w:t xml:space="preserve">shown </w:t>
            </w:r>
            <w:r>
              <w:rPr>
                <w:rFonts w:ascii="Calibri" w:hAnsi="Calibri"/>
                <w:color w:val="000000"/>
                <w:szCs w:val="24"/>
              </w:rPr>
              <w:t xml:space="preserve">in </w:t>
            </w:r>
            <w:r w:rsidRPr="00DA13A6">
              <w:rPr>
                <w:rFonts w:ascii="Calibri" w:hAnsi="Calibri"/>
                <w:b/>
                <w:i/>
                <w:color w:val="000000"/>
                <w:szCs w:val="24"/>
              </w:rPr>
              <w:t>Appendix A</w:t>
            </w:r>
            <w:r>
              <w:rPr>
                <w:rFonts w:ascii="Calibri" w:hAnsi="Calibri"/>
                <w:color w:val="000000"/>
                <w:szCs w:val="24"/>
              </w:rPr>
              <w:t>.</w:t>
            </w:r>
            <w:r w:rsidR="00E87E62">
              <w:rPr>
                <w:rFonts w:ascii="Calibri" w:hAnsi="Calibri"/>
                <w:color w:val="000000"/>
                <w:szCs w:val="24"/>
              </w:rPr>
              <w:t xml:space="preserve"> (Standalone form is available at the DPB </w:t>
            </w:r>
            <w:r w:rsidR="00F55C16">
              <w:rPr>
                <w:rFonts w:ascii="Calibri" w:hAnsi="Calibri"/>
                <w:color w:val="000000"/>
                <w:szCs w:val="24"/>
              </w:rPr>
              <w:t>Web site</w:t>
            </w:r>
            <w:r w:rsidR="00E87E62">
              <w:rPr>
                <w:rFonts w:ascii="Calibri" w:hAnsi="Calibri"/>
                <w:color w:val="000000"/>
                <w:szCs w:val="24"/>
              </w:rPr>
              <w:t>.)</w:t>
            </w:r>
          </w:p>
        </w:tc>
      </w:tr>
      <w:tr w:rsidR="004F4F3F" w:rsidRPr="00D26E10" w:rsidTr="00D26E10">
        <w:trPr>
          <w:cantSplit/>
          <w:trHeight w:val="645"/>
        </w:trPr>
        <w:tc>
          <w:tcPr>
            <w:tcW w:w="2320" w:type="dxa"/>
            <w:tcBorders>
              <w:top w:val="nil"/>
              <w:left w:val="single" w:sz="8" w:space="0" w:color="auto"/>
              <w:bottom w:val="single" w:sz="8" w:space="0" w:color="auto"/>
              <w:right w:val="single" w:sz="8" w:space="0" w:color="auto"/>
            </w:tcBorders>
            <w:shd w:val="clear" w:color="auto" w:fill="auto"/>
            <w:hideMark/>
          </w:tcPr>
          <w:p w:rsidR="004F4F3F" w:rsidRPr="00D26E10" w:rsidRDefault="004F4F3F" w:rsidP="004F4F3F">
            <w:pPr>
              <w:tabs>
                <w:tab w:val="clear" w:pos="360"/>
              </w:tabs>
              <w:spacing w:after="0"/>
              <w:ind w:left="0"/>
              <w:jc w:val="center"/>
              <w:rPr>
                <w:rFonts w:ascii="Calibri" w:hAnsi="Calibri"/>
                <w:b/>
                <w:bCs/>
                <w:color w:val="000000"/>
                <w:szCs w:val="24"/>
              </w:rPr>
            </w:pPr>
            <w:r w:rsidRPr="00D26E10">
              <w:rPr>
                <w:rFonts w:ascii="Calibri" w:hAnsi="Calibri"/>
                <w:b/>
                <w:bCs/>
                <w:color w:val="000000"/>
                <w:szCs w:val="24"/>
              </w:rPr>
              <w:t>August 15, 2014</w:t>
            </w:r>
          </w:p>
        </w:tc>
        <w:tc>
          <w:tcPr>
            <w:tcW w:w="6700" w:type="dxa"/>
            <w:tcBorders>
              <w:top w:val="nil"/>
              <w:left w:val="nil"/>
              <w:bottom w:val="single" w:sz="8" w:space="0" w:color="auto"/>
              <w:right w:val="single" w:sz="8" w:space="0" w:color="auto"/>
            </w:tcBorders>
            <w:shd w:val="clear" w:color="auto" w:fill="auto"/>
            <w:hideMark/>
          </w:tcPr>
          <w:p w:rsidR="004F4F3F" w:rsidRPr="00D26E10" w:rsidRDefault="004F4F3F" w:rsidP="004F4F3F">
            <w:pPr>
              <w:tabs>
                <w:tab w:val="clear" w:pos="360"/>
              </w:tabs>
              <w:spacing w:after="0"/>
              <w:ind w:left="0"/>
              <w:rPr>
                <w:rFonts w:ascii="Calibri" w:hAnsi="Calibri"/>
                <w:color w:val="000000"/>
                <w:szCs w:val="24"/>
              </w:rPr>
            </w:pPr>
            <w:r w:rsidRPr="00D26E10">
              <w:rPr>
                <w:rFonts w:ascii="Calibri" w:hAnsi="Calibri"/>
                <w:color w:val="000000"/>
                <w:szCs w:val="24"/>
              </w:rPr>
              <w:t>Deadline for agencies to submit budget execution adjustments to clear out convenience subobject codes other than the xx95 series</w:t>
            </w:r>
          </w:p>
        </w:tc>
      </w:tr>
    </w:tbl>
    <w:p w:rsidR="006821B3" w:rsidRPr="0086018D" w:rsidRDefault="00F55C16" w:rsidP="0086018D">
      <w:pPr>
        <w:tabs>
          <w:tab w:val="clear" w:pos="360"/>
        </w:tabs>
        <w:spacing w:after="200" w:line="276" w:lineRule="auto"/>
        <w:ind w:left="0"/>
        <w:rPr>
          <w:rFonts w:asciiTheme="minorHAnsi" w:eastAsiaTheme="minorHAnsi" w:hAnsiTheme="minorHAnsi" w:cstheme="minorBidi"/>
          <w:szCs w:val="24"/>
        </w:rPr>
      </w:pPr>
      <w:r>
        <w:rPr>
          <w:rFonts w:asciiTheme="minorHAnsi" w:eastAsiaTheme="minorHAnsi" w:hAnsiTheme="minorHAnsi" w:cstheme="minorBidi"/>
          <w:szCs w:val="24"/>
        </w:rPr>
        <w:br/>
      </w:r>
      <w:r w:rsidR="006821B3" w:rsidRPr="0086018D">
        <w:rPr>
          <w:rFonts w:asciiTheme="minorHAnsi" w:eastAsiaTheme="minorHAnsi" w:hAnsiTheme="minorHAnsi" w:cstheme="minorBidi"/>
          <w:szCs w:val="24"/>
        </w:rPr>
        <w:t>If you encounter any problems or need specific advice or assistance, please contact your budget analyst.</w:t>
      </w:r>
    </w:p>
    <w:p w:rsidR="00C815AE" w:rsidRPr="0086018D" w:rsidRDefault="005F4A17" w:rsidP="0086018D">
      <w:pPr>
        <w:pStyle w:val="MyHeading"/>
      </w:pPr>
      <w:r w:rsidRPr="0093655C">
        <w:br w:type="page"/>
      </w:r>
      <w:r w:rsidR="00C815AE" w:rsidRPr="0086018D">
        <w:lastRenderedPageBreak/>
        <w:t>Deficits</w:t>
      </w:r>
    </w:p>
    <w:p w:rsidR="001820E9" w:rsidRPr="00101162" w:rsidRDefault="000D198D" w:rsidP="001820E9">
      <w:pPr>
        <w:pStyle w:val="BodyTextIndent"/>
        <w:spacing w:after="0"/>
        <w:ind w:firstLine="0"/>
        <w:rPr>
          <w:rFonts w:ascii="Cambria" w:hAnsi="Cambria"/>
          <w:b/>
          <w:sz w:val="40"/>
          <w:szCs w:val="40"/>
        </w:rPr>
      </w:pPr>
      <w:r w:rsidRPr="000D198D">
        <w:rPr>
          <w:rFonts w:asciiTheme="majorHAnsi" w:hAnsiTheme="majorHAnsi"/>
          <w:sz w:val="16"/>
          <w:szCs w:val="16"/>
        </w:rPr>
        <w:pict>
          <v:rect id="_x0000_i1027" style="width:468pt;height:1.5pt" o:hralign="center" o:hrstd="t" o:hr="t" fillcolor="#a0a0a0" stroked="f"/>
        </w:pict>
      </w:r>
    </w:p>
    <w:p w:rsidR="00C815AE" w:rsidRPr="00101162" w:rsidRDefault="00C815AE" w:rsidP="00C815AE">
      <w:pPr>
        <w:pStyle w:val="BodyTextIndent"/>
        <w:spacing w:after="0"/>
        <w:ind w:firstLine="0"/>
        <w:rPr>
          <w:rFonts w:ascii="Calibri" w:hAnsi="Calibri"/>
        </w:rPr>
      </w:pPr>
    </w:p>
    <w:p w:rsidR="004B1A89" w:rsidRDefault="004B1A89" w:rsidP="004B1A89">
      <w:pPr>
        <w:pStyle w:val="HelpTopic"/>
      </w:pPr>
      <w:r>
        <w:t>Section 4-3.01 Requirements</w:t>
      </w:r>
    </w:p>
    <w:p w:rsidR="00C815AE" w:rsidRPr="00101162" w:rsidRDefault="00C815AE" w:rsidP="00C815AE">
      <w:pPr>
        <w:pStyle w:val="BodyTextIndent"/>
        <w:spacing w:after="0"/>
        <w:ind w:firstLine="0"/>
        <w:rPr>
          <w:rFonts w:ascii="Calibri" w:hAnsi="Calibri"/>
        </w:rPr>
      </w:pPr>
      <w:r w:rsidRPr="00101162">
        <w:rPr>
          <w:rFonts w:ascii="Calibri" w:hAnsi="Calibri"/>
        </w:rPr>
        <w:t>Section 4-3.01 of the 201</w:t>
      </w:r>
      <w:r>
        <w:rPr>
          <w:rFonts w:ascii="Calibri" w:hAnsi="Calibri"/>
        </w:rPr>
        <w:t xml:space="preserve">4 </w:t>
      </w:r>
      <w:r w:rsidRPr="00101162">
        <w:rPr>
          <w:rFonts w:ascii="Calibri" w:hAnsi="Calibri"/>
        </w:rPr>
        <w:t>Appropriation Act</w:t>
      </w:r>
      <w:r>
        <w:rPr>
          <w:rFonts w:ascii="Calibri" w:hAnsi="Calibri"/>
        </w:rPr>
        <w:t>,</w:t>
      </w:r>
      <w:r w:rsidRPr="00101162">
        <w:rPr>
          <w:rFonts w:ascii="Calibri" w:hAnsi="Calibri"/>
        </w:rPr>
        <w:t xml:space="preserve"> prohibits agencies from obligating or expending funds in excess of appropriations or obligating or expending at a rate that would result in expenditures in excess of nongeneral fund revenue collections, without prior approval by the Governor.  The prohibition from incurring a deficit applies legislative, judicial, and executive branch, and independent agencies that are designated in the Appropriation Act by title and assigned a three digit agency code.  </w:t>
      </w:r>
    </w:p>
    <w:p w:rsidR="00C815AE" w:rsidRPr="00101162" w:rsidRDefault="00C815AE" w:rsidP="00C815AE">
      <w:pPr>
        <w:pStyle w:val="BodyTextIndent"/>
        <w:spacing w:after="0"/>
        <w:rPr>
          <w:rFonts w:ascii="Calibri" w:hAnsi="Calibri"/>
        </w:rPr>
      </w:pPr>
    </w:p>
    <w:p w:rsidR="00C815AE" w:rsidRPr="00101162" w:rsidRDefault="00C815AE" w:rsidP="00C815AE">
      <w:pPr>
        <w:pStyle w:val="BodyTextIndent"/>
        <w:spacing w:after="0"/>
        <w:ind w:firstLine="0"/>
        <w:rPr>
          <w:rFonts w:ascii="Calibri" w:hAnsi="Calibri"/>
        </w:rPr>
      </w:pPr>
      <w:r w:rsidRPr="00101162">
        <w:rPr>
          <w:rFonts w:ascii="Calibri" w:hAnsi="Calibri"/>
        </w:rPr>
        <w:t>Agency analysis and monitoring of expenditures against cash, allotments, and appropriations are critical to avoid incurring a deficit at the close of the fiscal year.  Agencies must alert DPB as soon as possible if a problem is detected and anticipated at year-end close.  Agencies should NOT wait until year-end close is underway if it is currently aware of a potential deficit.</w:t>
      </w:r>
    </w:p>
    <w:p w:rsidR="00C815AE" w:rsidRPr="00101162" w:rsidRDefault="00C815AE" w:rsidP="00C815AE">
      <w:pPr>
        <w:pStyle w:val="BodyTextIndent"/>
        <w:spacing w:after="0"/>
        <w:rPr>
          <w:rFonts w:ascii="Calibri" w:hAnsi="Calibri"/>
        </w:rPr>
      </w:pPr>
    </w:p>
    <w:p w:rsidR="00C815AE" w:rsidRPr="00101162" w:rsidRDefault="00C815AE" w:rsidP="00C815AE">
      <w:pPr>
        <w:pStyle w:val="BodyTextIndent"/>
        <w:spacing w:after="0"/>
        <w:ind w:firstLine="0"/>
        <w:rPr>
          <w:rFonts w:ascii="Calibri" w:hAnsi="Calibri"/>
        </w:rPr>
      </w:pPr>
      <w:r w:rsidRPr="00101162">
        <w:rPr>
          <w:rFonts w:ascii="Calibri" w:hAnsi="Calibri"/>
        </w:rPr>
        <w:t xml:space="preserve">Agencies </w:t>
      </w:r>
      <w:r w:rsidRPr="00101162">
        <w:rPr>
          <w:rFonts w:ascii="Calibri" w:hAnsi="Calibri"/>
          <w:b/>
          <w:u w:val="single"/>
        </w:rPr>
        <w:t>should not</w:t>
      </w:r>
      <w:r w:rsidRPr="00101162">
        <w:rPr>
          <w:rFonts w:ascii="Calibri" w:hAnsi="Calibri"/>
        </w:rPr>
        <w:t xml:space="preserve"> assume that expenditures in excess of appropriations will be met from unappropriated nongeneral funds, by transfers from other current appropriations, or from appropriation of a prior-year, unexpended balances.  Each agency’s request for an appropriation allotment or any other action which requires executive approval will be treated (in the absence of any specific statement to the contrary) as the representation that approval of the request will neither directly nor indirectly result in a deficit.</w:t>
      </w:r>
    </w:p>
    <w:p w:rsidR="00C815AE" w:rsidRPr="00101162" w:rsidRDefault="00C815AE" w:rsidP="00C815AE">
      <w:pPr>
        <w:pStyle w:val="BodyTextIndent"/>
        <w:spacing w:after="0"/>
        <w:rPr>
          <w:rFonts w:ascii="Calibri" w:hAnsi="Calibri"/>
        </w:rPr>
      </w:pPr>
    </w:p>
    <w:p w:rsidR="00C815AE" w:rsidRPr="00101162" w:rsidRDefault="00C815AE" w:rsidP="00C815AE">
      <w:pPr>
        <w:pStyle w:val="BodyTextIndent"/>
        <w:spacing w:after="0"/>
        <w:ind w:firstLine="0"/>
        <w:rPr>
          <w:rFonts w:ascii="Calibri" w:hAnsi="Calibri"/>
        </w:rPr>
      </w:pPr>
      <w:r w:rsidRPr="00101162">
        <w:rPr>
          <w:rFonts w:ascii="Calibri" w:hAnsi="Calibri"/>
        </w:rPr>
        <w:t>Pursuant to § 4-3.01, if any agency violates any of the prohibitions stated above and incurs an unauthorized deficit, the Governor is directed to withhold approval of such excess obligation or expenditure.  The section stipulates that there will be no reimbursement of said excess, nor shall there be any liability or obligation upon the state to appropriate funds to address the unauthorized deficit.  Instead, those members of the governing board of any such agency who shall have voted therefore, or its head if there be no governing board, making any such excess obligation or expenditure shall be personally liable for the full amount of such unauthorized deficit and, at the discretion of the Governor, shall be deemed guilty of neglect of official duty and be subject to removal.</w:t>
      </w:r>
    </w:p>
    <w:p w:rsidR="00C815AE" w:rsidRPr="00101162" w:rsidRDefault="00C815AE" w:rsidP="00C815AE">
      <w:pPr>
        <w:pStyle w:val="BodyTextIndent"/>
        <w:spacing w:after="0"/>
        <w:rPr>
          <w:rFonts w:ascii="Calibri" w:hAnsi="Calibri"/>
        </w:rPr>
      </w:pPr>
    </w:p>
    <w:p w:rsidR="004B1A89" w:rsidRDefault="004B1A89" w:rsidP="004B1A89">
      <w:pPr>
        <w:pStyle w:val="HelpTopic"/>
      </w:pPr>
      <w:r>
        <w:t>Required Form</w:t>
      </w:r>
    </w:p>
    <w:p w:rsidR="006D7A36" w:rsidRDefault="004B1A89" w:rsidP="00B37E50">
      <w:pPr>
        <w:spacing w:after="0"/>
        <w:ind w:left="0" w:right="720"/>
      </w:pPr>
      <w:r w:rsidRPr="00101162">
        <w:rPr>
          <w:rFonts w:ascii="Calibri" w:hAnsi="Calibri"/>
        </w:rPr>
        <w:t xml:space="preserve">Section 4-3.01 </w:t>
      </w:r>
      <w:r w:rsidR="00C815AE" w:rsidRPr="00101162">
        <w:rPr>
          <w:rFonts w:ascii="Calibri" w:hAnsi="Calibri"/>
        </w:rPr>
        <w:t xml:space="preserve">also requires the Governor to bring the deficit provision to the attention of the members of the governing board of each state agency or the agency head if there is no governing board.  Consistent with this provision, the agency head is directed to acknowledge the receipt of this notification by completing the form found in </w:t>
      </w:r>
      <w:r w:rsidR="00C815AE" w:rsidRPr="00DA13A6">
        <w:rPr>
          <w:rFonts w:ascii="Calibri" w:hAnsi="Calibri"/>
          <w:b/>
          <w:i/>
        </w:rPr>
        <w:t>Appendix A</w:t>
      </w:r>
      <w:r w:rsidR="00C815AE" w:rsidRPr="00101162">
        <w:rPr>
          <w:rFonts w:ascii="Calibri" w:hAnsi="Calibri"/>
        </w:rPr>
        <w:t xml:space="preserve">.  The form is also available on DPB’s </w:t>
      </w:r>
      <w:r w:rsidR="00F55C16">
        <w:rPr>
          <w:rFonts w:ascii="Calibri" w:hAnsi="Calibri"/>
        </w:rPr>
        <w:t>Web</w:t>
      </w:r>
      <w:r w:rsidR="00C815AE" w:rsidRPr="00101162">
        <w:rPr>
          <w:rFonts w:ascii="Calibri" w:hAnsi="Calibri"/>
        </w:rPr>
        <w:t xml:space="preserve"> site at the following link:     </w:t>
      </w:r>
      <w:r w:rsidR="00C815AE" w:rsidRPr="00101162">
        <w:rPr>
          <w:rFonts w:ascii="Calibri" w:hAnsi="Calibri"/>
        </w:rPr>
        <w:br/>
      </w:r>
      <w:hyperlink r:id="rId14" w:history="1">
        <w:r w:rsidR="00B37E50" w:rsidRPr="005B4202">
          <w:rPr>
            <w:rStyle w:val="Hyperlink"/>
          </w:rPr>
          <w:t>http://dpb.virginia.gov/forms/20140626-1/DeficitProvisionAcknowledgementForm.doc</w:t>
        </w:r>
      </w:hyperlink>
    </w:p>
    <w:p w:rsidR="00B37E50" w:rsidRDefault="00B37E50" w:rsidP="00B37E50">
      <w:pPr>
        <w:spacing w:after="0"/>
        <w:ind w:left="0" w:right="720"/>
        <w:rPr>
          <w:rFonts w:ascii="Calibri" w:hAnsi="Calibri"/>
        </w:rPr>
      </w:pPr>
    </w:p>
    <w:p w:rsidR="00C815AE" w:rsidRDefault="00C815AE" w:rsidP="00C815AE">
      <w:pPr>
        <w:pStyle w:val="BodyTextIndent"/>
        <w:tabs>
          <w:tab w:val="clear" w:pos="360"/>
        </w:tabs>
        <w:spacing w:after="0"/>
        <w:ind w:firstLine="0"/>
        <w:rPr>
          <w:rFonts w:ascii="Calibri" w:hAnsi="Calibri"/>
          <w:szCs w:val="24"/>
        </w:rPr>
      </w:pPr>
      <w:r w:rsidRPr="00101162">
        <w:rPr>
          <w:rFonts w:ascii="Calibri" w:hAnsi="Calibri"/>
        </w:rPr>
        <w:lastRenderedPageBreak/>
        <w:t xml:space="preserve">A signed form is required from each cabinet secretary and all agency heads in the legislative, judicial, and executive branches and the independent agencies.  </w:t>
      </w:r>
      <w:r w:rsidRPr="00101162">
        <w:rPr>
          <w:rFonts w:ascii="Calibri" w:hAnsi="Calibri"/>
          <w:b/>
          <w:u w:val="single"/>
        </w:rPr>
        <w:t>Acknowledgement cannot be delegated and must contain the original signature of the cabinet secretary or agency head.</w:t>
      </w:r>
      <w:r w:rsidRPr="00101162">
        <w:rPr>
          <w:rFonts w:ascii="Calibri" w:hAnsi="Calibri"/>
        </w:rPr>
        <w:t xml:space="preserve">    The signed form must be returned to the following address by </w:t>
      </w:r>
      <w:r w:rsidR="00607F87" w:rsidRPr="00607F87">
        <w:rPr>
          <w:rFonts w:ascii="Calibri" w:hAnsi="Calibri"/>
        </w:rPr>
        <w:t xml:space="preserve">Friday, </w:t>
      </w:r>
      <w:r w:rsidR="00607F87" w:rsidRPr="00607F87">
        <w:rPr>
          <w:rFonts w:ascii="Calibri" w:hAnsi="Calibri"/>
          <w:b/>
        </w:rPr>
        <w:t>August 1, 2014</w:t>
      </w:r>
      <w:r w:rsidRPr="00101162">
        <w:rPr>
          <w:rFonts w:ascii="Calibri" w:hAnsi="Calibri"/>
          <w:szCs w:val="24"/>
        </w:rPr>
        <w:t>:</w:t>
      </w:r>
    </w:p>
    <w:p w:rsidR="00C815AE" w:rsidRPr="00101162" w:rsidRDefault="00C815AE" w:rsidP="00C815AE">
      <w:pPr>
        <w:pStyle w:val="BodyTextIndent"/>
        <w:tabs>
          <w:tab w:val="clear" w:pos="360"/>
        </w:tabs>
        <w:spacing w:after="0"/>
        <w:ind w:firstLine="0"/>
        <w:rPr>
          <w:rFonts w:ascii="Calibri" w:hAnsi="Calibri"/>
          <w:szCs w:val="24"/>
        </w:rPr>
      </w:pPr>
    </w:p>
    <w:p w:rsidR="00C815AE" w:rsidRPr="00101162" w:rsidRDefault="001A474E" w:rsidP="00C815AE">
      <w:pPr>
        <w:spacing w:after="0"/>
        <w:ind w:left="720" w:right="720"/>
        <w:rPr>
          <w:rFonts w:ascii="Calibri" w:hAnsi="Calibri"/>
          <w:szCs w:val="24"/>
        </w:rPr>
      </w:pPr>
      <w:r>
        <w:rPr>
          <w:rFonts w:ascii="Calibri" w:hAnsi="Calibri"/>
          <w:szCs w:val="24"/>
        </w:rPr>
        <w:t>Budget Operations</w:t>
      </w:r>
      <w:r w:rsidR="00C815AE" w:rsidRPr="00101162">
        <w:rPr>
          <w:rFonts w:ascii="Calibri" w:hAnsi="Calibri"/>
          <w:szCs w:val="24"/>
        </w:rPr>
        <w:t xml:space="preserve">, </w:t>
      </w:r>
      <w:r w:rsidR="00252A14" w:rsidRPr="00252A14">
        <w:rPr>
          <w:rFonts w:ascii="Calibri" w:hAnsi="Calibri"/>
          <w:szCs w:val="24"/>
        </w:rPr>
        <w:t>Debt Acknowledgment</w:t>
      </w:r>
    </w:p>
    <w:p w:rsidR="00C815AE" w:rsidRPr="00101162" w:rsidRDefault="00C815AE" w:rsidP="00C815AE">
      <w:pPr>
        <w:spacing w:after="0"/>
        <w:ind w:left="720" w:right="720"/>
        <w:rPr>
          <w:rFonts w:ascii="Calibri" w:hAnsi="Calibri"/>
          <w:szCs w:val="24"/>
        </w:rPr>
      </w:pPr>
      <w:r w:rsidRPr="00101162">
        <w:rPr>
          <w:rFonts w:ascii="Calibri" w:hAnsi="Calibri"/>
          <w:szCs w:val="24"/>
        </w:rPr>
        <w:t xml:space="preserve">Department of Planning and </w:t>
      </w:r>
      <w:smartTag w:uri="urn:schemas-microsoft-com:office:smarttags" w:element="PersonName">
        <w:r w:rsidRPr="00101162">
          <w:rPr>
            <w:rFonts w:ascii="Calibri" w:hAnsi="Calibri"/>
            <w:szCs w:val="24"/>
          </w:rPr>
          <w:t>Budget</w:t>
        </w:r>
      </w:smartTag>
    </w:p>
    <w:p w:rsidR="00C815AE" w:rsidRPr="00101162" w:rsidRDefault="00C815AE" w:rsidP="00C815AE">
      <w:pPr>
        <w:spacing w:after="0"/>
        <w:ind w:left="720" w:right="720"/>
        <w:rPr>
          <w:rFonts w:ascii="Calibri" w:hAnsi="Calibri"/>
          <w:szCs w:val="24"/>
        </w:rPr>
      </w:pPr>
      <w:r w:rsidRPr="00101162">
        <w:rPr>
          <w:rFonts w:ascii="Calibri" w:hAnsi="Calibri"/>
          <w:szCs w:val="24"/>
        </w:rPr>
        <w:t>Patrick Henry Building</w:t>
      </w:r>
      <w:r>
        <w:rPr>
          <w:rFonts w:ascii="Calibri" w:hAnsi="Calibri"/>
          <w:szCs w:val="24"/>
        </w:rPr>
        <w:t>,</w:t>
      </w:r>
      <w:r w:rsidRPr="00C815AE">
        <w:rPr>
          <w:rFonts w:ascii="Calibri" w:hAnsi="Calibri"/>
          <w:szCs w:val="24"/>
        </w:rPr>
        <w:t xml:space="preserve"> </w:t>
      </w:r>
      <w:r w:rsidRPr="00101162">
        <w:rPr>
          <w:rFonts w:ascii="Calibri" w:hAnsi="Calibri"/>
          <w:szCs w:val="24"/>
        </w:rPr>
        <w:t>Room 5040</w:t>
      </w:r>
    </w:p>
    <w:p w:rsidR="00C815AE" w:rsidRPr="00101162" w:rsidRDefault="00C815AE" w:rsidP="00C815AE">
      <w:pPr>
        <w:spacing w:after="0"/>
        <w:ind w:left="720" w:right="720"/>
        <w:rPr>
          <w:rFonts w:ascii="Calibri" w:hAnsi="Calibri"/>
          <w:szCs w:val="24"/>
        </w:rPr>
      </w:pPr>
      <w:r w:rsidRPr="00101162">
        <w:rPr>
          <w:rFonts w:ascii="Calibri" w:hAnsi="Calibri"/>
          <w:szCs w:val="24"/>
        </w:rPr>
        <w:t>1111 East Broad Street</w:t>
      </w:r>
    </w:p>
    <w:p w:rsidR="00C815AE" w:rsidRPr="00101162" w:rsidRDefault="00C815AE" w:rsidP="00C815AE">
      <w:pPr>
        <w:spacing w:after="0"/>
        <w:ind w:left="720" w:right="720"/>
        <w:rPr>
          <w:rFonts w:ascii="Calibri" w:hAnsi="Calibri"/>
          <w:szCs w:val="24"/>
        </w:rPr>
      </w:pPr>
      <w:r w:rsidRPr="00101162">
        <w:rPr>
          <w:rFonts w:ascii="Calibri" w:hAnsi="Calibri"/>
          <w:szCs w:val="24"/>
        </w:rPr>
        <w:t>Richmond, Virginia  23219-1922</w:t>
      </w:r>
    </w:p>
    <w:p w:rsidR="00C815AE" w:rsidRPr="00101162" w:rsidRDefault="00C815AE" w:rsidP="00C815AE">
      <w:pPr>
        <w:pStyle w:val="BodyTextIndent"/>
        <w:spacing w:after="0"/>
        <w:rPr>
          <w:rFonts w:ascii="Calibri" w:hAnsi="Calibri"/>
        </w:rPr>
      </w:pPr>
    </w:p>
    <w:p w:rsidR="00C815AE" w:rsidRPr="00101162" w:rsidRDefault="00C815AE" w:rsidP="00C815AE">
      <w:pPr>
        <w:pStyle w:val="BodyTextIndent"/>
        <w:spacing w:after="0"/>
        <w:ind w:firstLine="0"/>
        <w:rPr>
          <w:rFonts w:ascii="Calibri" w:hAnsi="Calibri"/>
        </w:rPr>
      </w:pPr>
      <w:r w:rsidRPr="00101162">
        <w:rPr>
          <w:rFonts w:ascii="Calibri" w:hAnsi="Calibri"/>
        </w:rPr>
        <w:t xml:space="preserve">The heads of agencies with governing boards must also provide each board member with a copy of this notice and of §4-3.01.  The governing boards are those specified as supervisory boards in §2.2-2100, </w:t>
      </w:r>
      <w:r w:rsidRPr="00D14FDB">
        <w:rPr>
          <w:rFonts w:ascii="Calibri" w:hAnsi="Calibri"/>
        </w:rPr>
        <w:t>Code of Virginia</w:t>
      </w:r>
      <w:r w:rsidRPr="00101162">
        <w:rPr>
          <w:rFonts w:ascii="Calibri" w:hAnsi="Calibri"/>
        </w:rPr>
        <w:t xml:space="preserve">.  Agency heads are also requested to provide the material to any board members and fiscal officers who may be appointed in the future.  </w:t>
      </w:r>
    </w:p>
    <w:p w:rsidR="00C815AE" w:rsidRDefault="00C815AE" w:rsidP="00C815AE">
      <w:pPr>
        <w:pStyle w:val="BodyTextIndent"/>
        <w:spacing w:after="0"/>
        <w:rPr>
          <w:rFonts w:ascii="Calibri" w:hAnsi="Calibri"/>
        </w:rPr>
      </w:pPr>
    </w:p>
    <w:p w:rsidR="00C815AE" w:rsidRDefault="00C815AE" w:rsidP="00C815AE">
      <w:pPr>
        <w:pStyle w:val="BodyTextIndent"/>
        <w:spacing w:after="0"/>
        <w:rPr>
          <w:rFonts w:ascii="Calibri" w:hAnsi="Calibri"/>
        </w:rPr>
      </w:pPr>
    </w:p>
    <w:p w:rsidR="00E86402" w:rsidRPr="0086018D" w:rsidRDefault="0093655C" w:rsidP="0086018D">
      <w:pPr>
        <w:pStyle w:val="MyHeading"/>
      </w:pPr>
      <w:r w:rsidRPr="0086018D">
        <w:t>FY 2015 Operating Appropriations</w:t>
      </w:r>
    </w:p>
    <w:p w:rsidR="0093655C" w:rsidRPr="0093655C" w:rsidRDefault="000D198D" w:rsidP="001820E9">
      <w:pPr>
        <w:pStyle w:val="BodyTextIndent"/>
        <w:spacing w:after="0"/>
        <w:ind w:firstLine="0"/>
        <w:rPr>
          <w:rFonts w:ascii="Calibri" w:hAnsi="Calibri"/>
        </w:rPr>
      </w:pPr>
      <w:r w:rsidRPr="000D198D">
        <w:rPr>
          <w:rFonts w:asciiTheme="majorHAnsi" w:hAnsiTheme="majorHAnsi"/>
          <w:sz w:val="16"/>
          <w:szCs w:val="16"/>
        </w:rPr>
        <w:pict>
          <v:rect id="_x0000_i1028" style="width:468pt;height:1.5pt" o:hralign="center" o:hrstd="t" o:hr="t" fillcolor="#a0a0a0" stroked="f"/>
        </w:pict>
      </w:r>
    </w:p>
    <w:p w:rsidR="005A3E47" w:rsidRPr="0086018D" w:rsidRDefault="005A3E47" w:rsidP="0086018D">
      <w:pPr>
        <w:pStyle w:val="HelpTopic"/>
      </w:pPr>
      <w:bookmarkStart w:id="4" w:name="_Toc101848176"/>
      <w:bookmarkStart w:id="5" w:name="_Toc102895207"/>
      <w:r w:rsidRPr="0086018D">
        <w:t xml:space="preserve">Establishing </w:t>
      </w:r>
      <w:r w:rsidR="00396D70" w:rsidRPr="0086018D">
        <w:t>A</w:t>
      </w:r>
      <w:r w:rsidRPr="0086018D">
        <w:t>ppropriations</w:t>
      </w:r>
      <w:bookmarkEnd w:id="4"/>
      <w:bookmarkEnd w:id="5"/>
    </w:p>
    <w:p w:rsidR="001A474E" w:rsidRDefault="005A3E47" w:rsidP="0093655C">
      <w:pPr>
        <w:pStyle w:val="BodyTextIndent"/>
        <w:tabs>
          <w:tab w:val="clear" w:pos="360"/>
        </w:tabs>
        <w:ind w:firstLine="0"/>
        <w:rPr>
          <w:rFonts w:ascii="Calibri" w:hAnsi="Calibri"/>
        </w:rPr>
      </w:pPr>
      <w:r w:rsidRPr="0093655C">
        <w:rPr>
          <w:rFonts w:ascii="Calibri" w:hAnsi="Calibri"/>
        </w:rPr>
        <w:t xml:space="preserve">DPB </w:t>
      </w:r>
      <w:r w:rsidR="001A474E">
        <w:rPr>
          <w:rFonts w:ascii="Calibri" w:hAnsi="Calibri"/>
        </w:rPr>
        <w:t>has</w:t>
      </w:r>
      <w:r w:rsidRPr="0093655C">
        <w:rPr>
          <w:rFonts w:ascii="Calibri" w:hAnsi="Calibri"/>
        </w:rPr>
        <w:t xml:space="preserve"> create</w:t>
      </w:r>
      <w:r w:rsidR="001A474E">
        <w:rPr>
          <w:rFonts w:ascii="Calibri" w:hAnsi="Calibri"/>
        </w:rPr>
        <w:t>d</w:t>
      </w:r>
      <w:r w:rsidRPr="0093655C">
        <w:rPr>
          <w:rFonts w:ascii="Calibri" w:hAnsi="Calibri"/>
        </w:rPr>
        <w:t xml:space="preserve"> initial appropriations and allotments for </w:t>
      </w:r>
      <w:r w:rsidR="00C03140" w:rsidRPr="0093655C">
        <w:rPr>
          <w:rFonts w:ascii="Calibri" w:hAnsi="Calibri"/>
        </w:rPr>
        <w:t xml:space="preserve">FY </w:t>
      </w:r>
      <w:r w:rsidR="00570627">
        <w:rPr>
          <w:rFonts w:ascii="Calibri" w:hAnsi="Calibri"/>
        </w:rPr>
        <w:t>2015</w:t>
      </w:r>
      <w:r w:rsidR="001F41E2" w:rsidRPr="0093655C">
        <w:rPr>
          <w:rFonts w:ascii="Calibri" w:hAnsi="Calibri"/>
        </w:rPr>
        <w:t xml:space="preserve"> </w:t>
      </w:r>
      <w:r w:rsidRPr="0093655C">
        <w:rPr>
          <w:rFonts w:ascii="Calibri" w:hAnsi="Calibri"/>
        </w:rPr>
        <w:t xml:space="preserve">operating expenses and </w:t>
      </w:r>
      <w:r w:rsidR="001A474E">
        <w:rPr>
          <w:rFonts w:ascii="Calibri" w:hAnsi="Calibri"/>
        </w:rPr>
        <w:t xml:space="preserve">has </w:t>
      </w:r>
      <w:r w:rsidR="001A474E" w:rsidRPr="0093655C">
        <w:rPr>
          <w:rFonts w:ascii="Calibri" w:hAnsi="Calibri"/>
        </w:rPr>
        <w:t>transmit</w:t>
      </w:r>
      <w:r w:rsidR="001A474E">
        <w:rPr>
          <w:rFonts w:ascii="Calibri" w:hAnsi="Calibri"/>
        </w:rPr>
        <w:t>ted</w:t>
      </w:r>
      <w:r w:rsidRPr="0093655C">
        <w:rPr>
          <w:rFonts w:ascii="Calibri" w:hAnsi="Calibri"/>
        </w:rPr>
        <w:t xml:space="preserve"> them to CARS</w:t>
      </w:r>
      <w:r w:rsidR="001A474E">
        <w:rPr>
          <w:rFonts w:ascii="Calibri" w:hAnsi="Calibri"/>
        </w:rPr>
        <w:t xml:space="preserve">.  CARS opened for FY 2015 processing on June 25. </w:t>
      </w:r>
    </w:p>
    <w:p w:rsidR="005A3E47" w:rsidRPr="0093655C" w:rsidRDefault="0051757B" w:rsidP="0093655C">
      <w:pPr>
        <w:pStyle w:val="BodyTextIndent"/>
        <w:tabs>
          <w:tab w:val="clear" w:pos="360"/>
        </w:tabs>
        <w:ind w:firstLine="0"/>
        <w:rPr>
          <w:rFonts w:ascii="Calibri" w:hAnsi="Calibri"/>
        </w:rPr>
      </w:pPr>
      <w:r w:rsidRPr="0093655C">
        <w:rPr>
          <w:rFonts w:ascii="Calibri" w:hAnsi="Calibri"/>
        </w:rPr>
        <w:t>.</w:t>
      </w:r>
      <w:r w:rsidR="00895BB0" w:rsidRPr="0093655C">
        <w:rPr>
          <w:rFonts w:ascii="Calibri" w:hAnsi="Calibri"/>
        </w:rPr>
        <w:t xml:space="preserve">  Agency action is not required</w:t>
      </w:r>
      <w:r w:rsidR="005A3E47" w:rsidRPr="0093655C">
        <w:rPr>
          <w:rFonts w:ascii="Calibri" w:hAnsi="Calibri"/>
        </w:rPr>
        <w:t xml:space="preserve">. </w:t>
      </w:r>
      <w:r w:rsidR="00F94B9A" w:rsidRPr="0093655C">
        <w:rPr>
          <w:rFonts w:ascii="Calibri" w:hAnsi="Calibri"/>
        </w:rPr>
        <w:t xml:space="preserve"> </w:t>
      </w:r>
      <w:r w:rsidR="005A3E47" w:rsidRPr="0093655C">
        <w:rPr>
          <w:rFonts w:ascii="Calibri" w:hAnsi="Calibri"/>
        </w:rPr>
        <w:t>DPB’s initial actions will</w:t>
      </w:r>
      <w:r w:rsidR="001A474E">
        <w:rPr>
          <w:rFonts w:ascii="Calibri" w:hAnsi="Calibri"/>
        </w:rPr>
        <w:t xml:space="preserve"> or have</w:t>
      </w:r>
      <w:r w:rsidR="005A3E47" w:rsidRPr="0093655C">
        <w:rPr>
          <w:rFonts w:ascii="Calibri" w:hAnsi="Calibri"/>
        </w:rPr>
        <w:t xml:space="preserve"> include</w:t>
      </w:r>
      <w:r w:rsidR="001A474E">
        <w:rPr>
          <w:rFonts w:ascii="Calibri" w:hAnsi="Calibri"/>
        </w:rPr>
        <w:t>d</w:t>
      </w:r>
      <w:r w:rsidR="005A3E47" w:rsidRPr="0093655C">
        <w:rPr>
          <w:rFonts w:ascii="Calibri" w:hAnsi="Calibri"/>
        </w:rPr>
        <w:t>:</w:t>
      </w:r>
    </w:p>
    <w:p w:rsidR="00434609" w:rsidRPr="0093655C" w:rsidRDefault="00434609" w:rsidP="00570627">
      <w:pPr>
        <w:pStyle w:val="BodyTextIndent"/>
        <w:spacing w:after="0"/>
        <w:rPr>
          <w:rFonts w:ascii="Calibri" w:hAnsi="Calibri"/>
        </w:rPr>
      </w:pPr>
    </w:p>
    <w:p w:rsidR="005A3E47" w:rsidRPr="0093655C" w:rsidRDefault="00F94B9A" w:rsidP="001C48B0">
      <w:pPr>
        <w:numPr>
          <w:ilvl w:val="0"/>
          <w:numId w:val="5"/>
        </w:numPr>
        <w:rPr>
          <w:rFonts w:ascii="Calibri" w:hAnsi="Calibri"/>
        </w:rPr>
      </w:pPr>
      <w:r w:rsidRPr="0093655C">
        <w:rPr>
          <w:rFonts w:ascii="Calibri" w:hAnsi="Calibri"/>
        </w:rPr>
        <w:t xml:space="preserve">Establish </w:t>
      </w:r>
      <w:r w:rsidR="0075776D" w:rsidRPr="0093655C">
        <w:rPr>
          <w:rFonts w:ascii="Calibri" w:hAnsi="Calibri"/>
        </w:rPr>
        <w:t xml:space="preserve">FY </w:t>
      </w:r>
      <w:r w:rsidR="00570627">
        <w:rPr>
          <w:rFonts w:ascii="Calibri" w:hAnsi="Calibri"/>
        </w:rPr>
        <w:t>2015</w:t>
      </w:r>
      <w:r w:rsidR="0075776D" w:rsidRPr="0093655C">
        <w:rPr>
          <w:rFonts w:ascii="Calibri" w:hAnsi="Calibri"/>
        </w:rPr>
        <w:t xml:space="preserve"> </w:t>
      </w:r>
      <w:r w:rsidRPr="0093655C">
        <w:rPr>
          <w:rFonts w:ascii="Calibri" w:hAnsi="Calibri"/>
        </w:rPr>
        <w:t>l</w:t>
      </w:r>
      <w:r w:rsidR="005A3E47" w:rsidRPr="0093655C">
        <w:rPr>
          <w:rFonts w:ascii="Calibri" w:hAnsi="Calibri"/>
        </w:rPr>
        <w:t xml:space="preserve">egislative appropriations </w:t>
      </w:r>
      <w:r w:rsidR="0075776D" w:rsidRPr="0093655C">
        <w:rPr>
          <w:rFonts w:ascii="Calibri" w:hAnsi="Calibri"/>
        </w:rPr>
        <w:t>per</w:t>
      </w:r>
      <w:r w:rsidR="005A3E47" w:rsidRPr="0093655C">
        <w:rPr>
          <w:rFonts w:ascii="Calibri" w:hAnsi="Calibri"/>
        </w:rPr>
        <w:t xml:space="preserve"> the </w:t>
      </w:r>
      <w:r w:rsidR="00570627">
        <w:rPr>
          <w:rFonts w:ascii="Calibri" w:hAnsi="Calibri"/>
        </w:rPr>
        <w:t>2014</w:t>
      </w:r>
      <w:r w:rsidR="001F41E2" w:rsidRPr="0093655C">
        <w:rPr>
          <w:rFonts w:ascii="Calibri" w:hAnsi="Calibri"/>
        </w:rPr>
        <w:t xml:space="preserve"> </w:t>
      </w:r>
      <w:r w:rsidR="00AD3708" w:rsidRPr="0093655C">
        <w:rPr>
          <w:rFonts w:ascii="Calibri" w:hAnsi="Calibri"/>
        </w:rPr>
        <w:t>Appropriation Act</w:t>
      </w:r>
      <w:r w:rsidR="001A474E">
        <w:rPr>
          <w:rFonts w:ascii="Calibri" w:hAnsi="Calibri"/>
        </w:rPr>
        <w:t xml:space="preserve"> (Completed)</w:t>
      </w:r>
      <w:r w:rsidR="005A3E47" w:rsidRPr="0093655C">
        <w:rPr>
          <w:rFonts w:ascii="Calibri" w:hAnsi="Calibri"/>
        </w:rPr>
        <w:t>.</w:t>
      </w:r>
    </w:p>
    <w:p w:rsidR="005A3E47" w:rsidRPr="0093655C" w:rsidRDefault="005A3E47" w:rsidP="001C48B0">
      <w:pPr>
        <w:numPr>
          <w:ilvl w:val="0"/>
          <w:numId w:val="5"/>
        </w:numPr>
        <w:rPr>
          <w:rFonts w:ascii="Calibri" w:hAnsi="Calibri"/>
        </w:rPr>
      </w:pPr>
      <w:r w:rsidRPr="0093655C">
        <w:rPr>
          <w:rFonts w:ascii="Calibri" w:hAnsi="Calibri"/>
        </w:rPr>
        <w:t xml:space="preserve">Transfer (rollover) of </w:t>
      </w:r>
      <w:r w:rsidR="00D8206A" w:rsidRPr="0093655C">
        <w:rPr>
          <w:rFonts w:ascii="Calibri" w:hAnsi="Calibri"/>
        </w:rPr>
        <w:t xml:space="preserve">fund </w:t>
      </w:r>
      <w:r w:rsidRPr="0093655C">
        <w:rPr>
          <w:rFonts w:ascii="Calibri" w:hAnsi="Calibri"/>
        </w:rPr>
        <w:t xml:space="preserve">0100 to </w:t>
      </w:r>
      <w:r w:rsidR="00D8206A" w:rsidRPr="0093655C">
        <w:rPr>
          <w:rFonts w:ascii="Calibri" w:hAnsi="Calibri"/>
        </w:rPr>
        <w:t xml:space="preserve">fund </w:t>
      </w:r>
      <w:r w:rsidRPr="0093655C">
        <w:rPr>
          <w:rFonts w:ascii="Calibri" w:hAnsi="Calibri"/>
        </w:rPr>
        <w:t xml:space="preserve">0300 in program 100 (Educational and General Programs) for institutions of higher education for the initial </w:t>
      </w:r>
      <w:r w:rsidR="00C03140" w:rsidRPr="0093655C">
        <w:rPr>
          <w:rFonts w:ascii="Calibri" w:hAnsi="Calibri"/>
        </w:rPr>
        <w:t xml:space="preserve">FY </w:t>
      </w:r>
      <w:r w:rsidR="00570627">
        <w:rPr>
          <w:rFonts w:ascii="Calibri" w:hAnsi="Calibri"/>
        </w:rPr>
        <w:t>2015</w:t>
      </w:r>
      <w:r w:rsidR="001F41E2" w:rsidRPr="0093655C">
        <w:rPr>
          <w:rFonts w:ascii="Calibri" w:hAnsi="Calibri"/>
        </w:rPr>
        <w:t xml:space="preserve"> </w:t>
      </w:r>
      <w:r w:rsidRPr="0093655C">
        <w:rPr>
          <w:rFonts w:ascii="Calibri" w:hAnsi="Calibri"/>
        </w:rPr>
        <w:t>legislative appropriation</w:t>
      </w:r>
      <w:r w:rsidR="00423CE6" w:rsidRPr="0093655C">
        <w:rPr>
          <w:rFonts w:ascii="Calibri" w:hAnsi="Calibri"/>
        </w:rPr>
        <w:t>s</w:t>
      </w:r>
      <w:r w:rsidRPr="0093655C">
        <w:rPr>
          <w:rFonts w:ascii="Calibri" w:hAnsi="Calibri"/>
        </w:rPr>
        <w:t xml:space="preserve"> in the </w:t>
      </w:r>
      <w:r w:rsidR="00570627">
        <w:rPr>
          <w:rFonts w:ascii="Calibri" w:hAnsi="Calibri"/>
        </w:rPr>
        <w:t>2014</w:t>
      </w:r>
      <w:r w:rsidR="001F41E2" w:rsidRPr="0093655C">
        <w:rPr>
          <w:rFonts w:ascii="Calibri" w:hAnsi="Calibri"/>
        </w:rPr>
        <w:t xml:space="preserve"> </w:t>
      </w:r>
      <w:r w:rsidRPr="0093655C">
        <w:rPr>
          <w:rFonts w:ascii="Calibri" w:hAnsi="Calibri"/>
        </w:rPr>
        <w:t>Appropriation Act.</w:t>
      </w:r>
      <w:r w:rsidR="001A474E">
        <w:rPr>
          <w:rFonts w:ascii="Calibri" w:hAnsi="Calibri"/>
        </w:rPr>
        <w:t xml:space="preserve"> (Completed)</w:t>
      </w:r>
    </w:p>
    <w:p w:rsidR="005512E6" w:rsidRPr="0093655C" w:rsidRDefault="005A3E47" w:rsidP="001C48B0">
      <w:pPr>
        <w:numPr>
          <w:ilvl w:val="0"/>
          <w:numId w:val="5"/>
        </w:numPr>
        <w:rPr>
          <w:rFonts w:ascii="Calibri" w:hAnsi="Calibri"/>
        </w:rPr>
      </w:pPr>
      <w:r w:rsidRPr="0093655C">
        <w:rPr>
          <w:rFonts w:ascii="Calibri" w:hAnsi="Calibri"/>
        </w:rPr>
        <w:t xml:space="preserve">Unallot </w:t>
      </w:r>
      <w:r w:rsidR="00C03140" w:rsidRPr="0093655C">
        <w:rPr>
          <w:rFonts w:ascii="Calibri" w:hAnsi="Calibri"/>
        </w:rPr>
        <w:t xml:space="preserve">FY </w:t>
      </w:r>
      <w:r w:rsidR="00570627">
        <w:rPr>
          <w:rFonts w:ascii="Calibri" w:hAnsi="Calibri"/>
        </w:rPr>
        <w:t>2015</w:t>
      </w:r>
      <w:r w:rsidR="001F41E2" w:rsidRPr="0093655C">
        <w:rPr>
          <w:rFonts w:ascii="Calibri" w:hAnsi="Calibri"/>
        </w:rPr>
        <w:t xml:space="preserve"> </w:t>
      </w:r>
      <w:r w:rsidRPr="0093655C">
        <w:rPr>
          <w:rFonts w:ascii="Calibri" w:hAnsi="Calibri"/>
        </w:rPr>
        <w:t xml:space="preserve">appropriations </w:t>
      </w:r>
      <w:r w:rsidR="005512E6" w:rsidRPr="0093655C">
        <w:rPr>
          <w:rFonts w:ascii="Calibri" w:hAnsi="Calibri"/>
        </w:rPr>
        <w:t xml:space="preserve">based on language in the </w:t>
      </w:r>
      <w:r w:rsidR="00570627">
        <w:rPr>
          <w:rFonts w:ascii="Calibri" w:hAnsi="Calibri"/>
        </w:rPr>
        <w:t>2014</w:t>
      </w:r>
      <w:r w:rsidR="001F41E2" w:rsidRPr="0093655C">
        <w:rPr>
          <w:rFonts w:ascii="Calibri" w:hAnsi="Calibri"/>
        </w:rPr>
        <w:t xml:space="preserve"> </w:t>
      </w:r>
      <w:r w:rsidR="005512E6" w:rsidRPr="0093655C">
        <w:rPr>
          <w:rFonts w:ascii="Calibri" w:hAnsi="Calibri"/>
        </w:rPr>
        <w:t xml:space="preserve">Appropriation Act that directs certain appropriations to </w:t>
      </w:r>
      <w:r w:rsidR="009C3A7D" w:rsidRPr="0093655C">
        <w:rPr>
          <w:rFonts w:ascii="Calibri" w:hAnsi="Calibri"/>
        </w:rPr>
        <w:t xml:space="preserve">not </w:t>
      </w:r>
      <w:r w:rsidR="005512E6" w:rsidRPr="0093655C">
        <w:rPr>
          <w:rFonts w:ascii="Calibri" w:hAnsi="Calibri"/>
        </w:rPr>
        <w:t xml:space="preserve">be initially allotted and available for expenditure on July 1, </w:t>
      </w:r>
      <w:r w:rsidR="00570627">
        <w:rPr>
          <w:rFonts w:ascii="Calibri" w:hAnsi="Calibri"/>
        </w:rPr>
        <w:t>2014</w:t>
      </w:r>
      <w:r w:rsidR="005512E6" w:rsidRPr="0093655C">
        <w:rPr>
          <w:rFonts w:ascii="Calibri" w:hAnsi="Calibri"/>
        </w:rPr>
        <w:t>, for the following reasons:</w:t>
      </w:r>
      <w:r w:rsidR="001A474E">
        <w:rPr>
          <w:rFonts w:ascii="Calibri" w:hAnsi="Calibri"/>
        </w:rPr>
        <w:t>(Completion Pending)</w:t>
      </w:r>
    </w:p>
    <w:p w:rsidR="005512E6" w:rsidRPr="0093655C" w:rsidRDefault="005512E6" w:rsidP="001C48B0">
      <w:pPr>
        <w:numPr>
          <w:ilvl w:val="0"/>
          <w:numId w:val="6"/>
        </w:numPr>
        <w:tabs>
          <w:tab w:val="left" w:pos="720"/>
          <w:tab w:val="left" w:pos="1170"/>
        </w:tabs>
        <w:spacing w:line="240" w:lineRule="atLeast"/>
        <w:rPr>
          <w:rFonts w:ascii="Calibri" w:hAnsi="Calibri"/>
        </w:rPr>
      </w:pPr>
      <w:r w:rsidRPr="0093655C">
        <w:rPr>
          <w:rFonts w:ascii="Calibri" w:hAnsi="Calibri"/>
        </w:rPr>
        <w:t>Some type of prior approval by the Governor or other designated person</w:t>
      </w:r>
      <w:r w:rsidR="00C21BA7">
        <w:rPr>
          <w:rFonts w:ascii="Calibri" w:hAnsi="Calibri"/>
        </w:rPr>
        <w:t>/group</w:t>
      </w:r>
      <w:r w:rsidRPr="0093655C">
        <w:rPr>
          <w:rFonts w:ascii="Calibri" w:hAnsi="Calibri"/>
        </w:rPr>
        <w:t xml:space="preserve"> is required;</w:t>
      </w:r>
    </w:p>
    <w:p w:rsidR="005512E6" w:rsidRPr="0093655C" w:rsidRDefault="005512E6" w:rsidP="001C48B0">
      <w:pPr>
        <w:numPr>
          <w:ilvl w:val="0"/>
          <w:numId w:val="6"/>
        </w:numPr>
        <w:tabs>
          <w:tab w:val="left" w:pos="720"/>
          <w:tab w:val="left" w:pos="1170"/>
        </w:tabs>
        <w:spacing w:line="240" w:lineRule="atLeast"/>
        <w:rPr>
          <w:rFonts w:ascii="Calibri" w:hAnsi="Calibri"/>
        </w:rPr>
      </w:pPr>
      <w:r w:rsidRPr="0093655C">
        <w:rPr>
          <w:rFonts w:ascii="Calibri" w:hAnsi="Calibri"/>
        </w:rPr>
        <w:t>There is a match requirement; or</w:t>
      </w:r>
    </w:p>
    <w:p w:rsidR="005512E6" w:rsidRPr="0093655C" w:rsidRDefault="005512E6" w:rsidP="001C48B0">
      <w:pPr>
        <w:numPr>
          <w:ilvl w:val="0"/>
          <w:numId w:val="6"/>
        </w:numPr>
        <w:tabs>
          <w:tab w:val="left" w:pos="720"/>
          <w:tab w:val="left" w:pos="1170"/>
        </w:tabs>
        <w:spacing w:line="240" w:lineRule="atLeast"/>
        <w:rPr>
          <w:rFonts w:ascii="Calibri" w:hAnsi="Calibri"/>
        </w:rPr>
      </w:pPr>
      <w:r w:rsidRPr="0093655C">
        <w:rPr>
          <w:rFonts w:ascii="Calibri" w:hAnsi="Calibri"/>
        </w:rPr>
        <w:t>The appropriation is not expended in the agency to which it is made, but is transferred to other agencies for expenditure.</w:t>
      </w:r>
    </w:p>
    <w:p w:rsidR="005512E6" w:rsidRPr="0093655C" w:rsidRDefault="005512E6" w:rsidP="007D22A8">
      <w:pPr>
        <w:tabs>
          <w:tab w:val="left" w:pos="720"/>
          <w:tab w:val="left" w:pos="1170"/>
        </w:tabs>
        <w:spacing w:after="0" w:line="240" w:lineRule="atLeast"/>
        <w:rPr>
          <w:rFonts w:ascii="Calibri" w:hAnsi="Calibri"/>
        </w:rPr>
      </w:pPr>
    </w:p>
    <w:p w:rsidR="00CC50F4" w:rsidRPr="0093655C" w:rsidRDefault="00A72576" w:rsidP="006D7A36">
      <w:pPr>
        <w:spacing w:after="0"/>
        <w:ind w:left="720" w:right="720"/>
        <w:rPr>
          <w:rFonts w:ascii="Calibri" w:hAnsi="Calibri"/>
        </w:rPr>
      </w:pPr>
      <w:r w:rsidRPr="0093655C">
        <w:rPr>
          <w:rFonts w:ascii="Calibri" w:hAnsi="Calibri"/>
        </w:rPr>
        <w:t xml:space="preserve">A listing </w:t>
      </w:r>
      <w:r w:rsidR="005512E6" w:rsidRPr="0093655C">
        <w:rPr>
          <w:rFonts w:ascii="Calibri" w:hAnsi="Calibri"/>
        </w:rPr>
        <w:t xml:space="preserve">of </w:t>
      </w:r>
      <w:r w:rsidR="0075776D" w:rsidRPr="0093655C">
        <w:rPr>
          <w:rFonts w:ascii="Calibri" w:hAnsi="Calibri"/>
        </w:rPr>
        <w:t xml:space="preserve">the </w:t>
      </w:r>
      <w:r w:rsidR="0030697C" w:rsidRPr="0093655C">
        <w:rPr>
          <w:rFonts w:ascii="Calibri" w:hAnsi="Calibri"/>
        </w:rPr>
        <w:t xml:space="preserve">unallotted </w:t>
      </w:r>
      <w:r w:rsidR="005512E6" w:rsidRPr="0093655C">
        <w:rPr>
          <w:rFonts w:ascii="Calibri" w:hAnsi="Calibri"/>
        </w:rPr>
        <w:t xml:space="preserve">appropriations can be found in </w:t>
      </w:r>
      <w:r w:rsidR="005A3E47" w:rsidRPr="00DA13A6">
        <w:rPr>
          <w:rFonts w:ascii="Calibri" w:hAnsi="Calibri"/>
          <w:b/>
          <w:i/>
        </w:rPr>
        <w:t xml:space="preserve">Appendix </w:t>
      </w:r>
      <w:r w:rsidR="00EB48D3" w:rsidRPr="00DA13A6">
        <w:rPr>
          <w:rFonts w:ascii="Calibri" w:hAnsi="Calibri"/>
          <w:b/>
          <w:i/>
        </w:rPr>
        <w:t>B</w:t>
      </w:r>
      <w:r w:rsidR="005A3E47" w:rsidRPr="0093655C">
        <w:rPr>
          <w:rFonts w:ascii="Calibri" w:hAnsi="Calibri"/>
        </w:rPr>
        <w:t>.</w:t>
      </w:r>
      <w:r w:rsidR="001F41E2" w:rsidRPr="0093655C">
        <w:rPr>
          <w:rFonts w:ascii="Calibri" w:hAnsi="Calibri"/>
        </w:rPr>
        <w:t xml:space="preserve"> </w:t>
      </w:r>
      <w:r w:rsidR="00CC50F4" w:rsidRPr="0093655C">
        <w:rPr>
          <w:rFonts w:ascii="Calibri" w:hAnsi="Calibri"/>
        </w:rPr>
        <w:t xml:space="preserve"> If expenditure is conditional upon a prior approval action or a match requirement, </w:t>
      </w:r>
      <w:r w:rsidR="00C21BA7">
        <w:rPr>
          <w:rFonts w:ascii="Calibri" w:hAnsi="Calibri"/>
        </w:rPr>
        <w:t>that</w:t>
      </w:r>
      <w:r w:rsidR="00C21BA7" w:rsidRPr="0093655C">
        <w:rPr>
          <w:rFonts w:ascii="Calibri" w:hAnsi="Calibri"/>
        </w:rPr>
        <w:t xml:space="preserve"> </w:t>
      </w:r>
      <w:r w:rsidR="00CC50F4" w:rsidRPr="0093655C">
        <w:rPr>
          <w:rFonts w:ascii="Calibri" w:hAnsi="Calibri"/>
        </w:rPr>
        <w:t xml:space="preserve">criteria must be satisfied before the appropriation can be allotted.  Once the </w:t>
      </w:r>
      <w:r w:rsidR="00CC50F4" w:rsidRPr="0093655C">
        <w:rPr>
          <w:rFonts w:ascii="Calibri" w:hAnsi="Calibri"/>
        </w:rPr>
        <w:lastRenderedPageBreak/>
        <w:t xml:space="preserve">condition is met, an agency can submit a </w:t>
      </w:r>
      <w:r w:rsidR="00C03140" w:rsidRPr="0093655C">
        <w:rPr>
          <w:rFonts w:ascii="Calibri" w:hAnsi="Calibri"/>
        </w:rPr>
        <w:t>budget execution adjustment</w:t>
      </w:r>
      <w:r w:rsidR="00C03140" w:rsidRPr="0093655C" w:rsidDel="00C03140">
        <w:rPr>
          <w:rFonts w:ascii="Calibri" w:hAnsi="Calibri"/>
        </w:rPr>
        <w:t xml:space="preserve"> </w:t>
      </w:r>
      <w:r w:rsidR="00895BB0" w:rsidRPr="0093655C">
        <w:rPr>
          <w:rFonts w:ascii="Calibri" w:hAnsi="Calibri"/>
        </w:rPr>
        <w:t xml:space="preserve">in the PB system </w:t>
      </w:r>
      <w:r w:rsidR="00CC50F4" w:rsidRPr="0093655C">
        <w:rPr>
          <w:rFonts w:ascii="Calibri" w:hAnsi="Calibri"/>
        </w:rPr>
        <w:t>to request the allotment of the appropriation.</w:t>
      </w:r>
    </w:p>
    <w:p w:rsidR="00BE469B" w:rsidRPr="0086018D" w:rsidRDefault="00CB5539" w:rsidP="0086018D">
      <w:pPr>
        <w:pStyle w:val="HelpTopic"/>
      </w:pPr>
      <w:r w:rsidRPr="0086018D">
        <w:t xml:space="preserve">Appropriation of </w:t>
      </w:r>
      <w:r w:rsidR="00BE469B" w:rsidRPr="0086018D">
        <w:t xml:space="preserve">Nongeneral Fund </w:t>
      </w:r>
      <w:r w:rsidRPr="0086018D">
        <w:t xml:space="preserve">Cash </w:t>
      </w:r>
      <w:r w:rsidR="00BE469B" w:rsidRPr="0086018D">
        <w:t>Balances</w:t>
      </w:r>
    </w:p>
    <w:p w:rsidR="00CB5539" w:rsidRDefault="00CB5539" w:rsidP="00CB5539">
      <w:pPr>
        <w:pStyle w:val="BodyTextIndent"/>
        <w:tabs>
          <w:tab w:val="clear" w:pos="360"/>
        </w:tabs>
        <w:spacing w:after="0"/>
        <w:ind w:firstLine="0"/>
        <w:rPr>
          <w:rFonts w:ascii="Calibri" w:hAnsi="Calibri"/>
        </w:rPr>
      </w:pPr>
      <w:r>
        <w:rPr>
          <w:rFonts w:ascii="Calibri" w:hAnsi="Calibri"/>
        </w:rPr>
        <w:t>Appropriations for u</w:t>
      </w:r>
      <w:r w:rsidRPr="0093655C">
        <w:rPr>
          <w:rFonts w:ascii="Calibri" w:hAnsi="Calibri"/>
        </w:rPr>
        <w:t xml:space="preserve">nexpended nongeneral fund </w:t>
      </w:r>
      <w:r>
        <w:rPr>
          <w:rFonts w:ascii="Calibri" w:hAnsi="Calibri"/>
        </w:rPr>
        <w:t>cash balances</w:t>
      </w:r>
      <w:r w:rsidRPr="0093655C">
        <w:rPr>
          <w:rFonts w:ascii="Calibri" w:hAnsi="Calibri"/>
        </w:rPr>
        <w:t xml:space="preserve"> </w:t>
      </w:r>
      <w:r w:rsidRPr="0093655C">
        <w:rPr>
          <w:rFonts w:ascii="Calibri" w:hAnsi="Calibri"/>
          <w:b/>
          <w:u w:val="single"/>
        </w:rPr>
        <w:t>are not</w:t>
      </w:r>
      <w:r w:rsidRPr="0093655C">
        <w:rPr>
          <w:rFonts w:ascii="Calibri" w:hAnsi="Calibri"/>
        </w:rPr>
        <w:t xml:space="preserve"> automatically brought forward in the PB system and </w:t>
      </w:r>
      <w:smartTag w:uri="urn:schemas-microsoft-com:office:smarttags" w:element="stockticker">
        <w:r w:rsidRPr="0093655C">
          <w:rPr>
            <w:rFonts w:ascii="Calibri" w:hAnsi="Calibri"/>
          </w:rPr>
          <w:t>CARS</w:t>
        </w:r>
      </w:smartTag>
      <w:r w:rsidRPr="0093655C">
        <w:rPr>
          <w:rFonts w:ascii="Calibri" w:hAnsi="Calibri"/>
        </w:rPr>
        <w:t xml:space="preserve">.  Unexpended nongeneral fund cash balances on June 30, </w:t>
      </w:r>
      <w:r>
        <w:rPr>
          <w:rFonts w:ascii="Calibri" w:hAnsi="Calibri"/>
        </w:rPr>
        <w:t>2014</w:t>
      </w:r>
      <w:r w:rsidRPr="0093655C">
        <w:rPr>
          <w:rFonts w:ascii="Calibri" w:hAnsi="Calibri"/>
        </w:rPr>
        <w:t xml:space="preserve">, must be </w:t>
      </w:r>
      <w:r>
        <w:rPr>
          <w:rFonts w:ascii="Calibri" w:hAnsi="Calibri"/>
        </w:rPr>
        <w:t>re</w:t>
      </w:r>
      <w:r w:rsidRPr="0093655C">
        <w:rPr>
          <w:rFonts w:ascii="Calibri" w:hAnsi="Calibri"/>
        </w:rPr>
        <w:t xml:space="preserve">appropriated in the PB system to be available for expenditure in FY </w:t>
      </w:r>
      <w:r>
        <w:rPr>
          <w:rFonts w:ascii="Calibri" w:hAnsi="Calibri"/>
        </w:rPr>
        <w:t>2015</w:t>
      </w:r>
      <w:r w:rsidRPr="0093655C">
        <w:rPr>
          <w:rFonts w:ascii="Calibri" w:hAnsi="Calibri"/>
        </w:rPr>
        <w:t>.  The appropriation is subject to DOA’s cash controls.  DOA will not approve expenditures that exceed the available cash.</w:t>
      </w:r>
    </w:p>
    <w:p w:rsidR="00CB5539" w:rsidRPr="0093655C" w:rsidRDefault="00CB5539" w:rsidP="00CB5539">
      <w:pPr>
        <w:pStyle w:val="BodyTextIndent"/>
        <w:tabs>
          <w:tab w:val="clear" w:pos="360"/>
        </w:tabs>
        <w:spacing w:after="0"/>
        <w:ind w:firstLine="0"/>
        <w:rPr>
          <w:rFonts w:ascii="Calibri" w:hAnsi="Calibri"/>
        </w:rPr>
      </w:pPr>
    </w:p>
    <w:p w:rsidR="0075776D" w:rsidRPr="0093655C" w:rsidRDefault="0075776D" w:rsidP="0093655C">
      <w:pPr>
        <w:pStyle w:val="BodyTextIndent"/>
        <w:tabs>
          <w:tab w:val="clear" w:pos="360"/>
        </w:tabs>
        <w:spacing w:after="0"/>
        <w:ind w:firstLine="0"/>
        <w:rPr>
          <w:rFonts w:ascii="Calibri" w:hAnsi="Calibri"/>
        </w:rPr>
      </w:pPr>
      <w:r w:rsidRPr="0093655C">
        <w:rPr>
          <w:rFonts w:ascii="Calibri" w:hAnsi="Calibri"/>
        </w:rPr>
        <w:t xml:space="preserve">The general policy is that requests to appropriate unexpended nongeneral fund cash balances are limited to circumstances where there is no nongeneral fund appropriation in FY </w:t>
      </w:r>
      <w:r w:rsidR="00570627">
        <w:rPr>
          <w:rFonts w:ascii="Calibri" w:hAnsi="Calibri"/>
        </w:rPr>
        <w:t>2015</w:t>
      </w:r>
      <w:r w:rsidRPr="0093655C">
        <w:rPr>
          <w:rFonts w:ascii="Calibri" w:hAnsi="Calibri"/>
        </w:rPr>
        <w:t xml:space="preserve"> or the FY </w:t>
      </w:r>
      <w:r w:rsidR="00570627">
        <w:rPr>
          <w:rFonts w:ascii="Calibri" w:hAnsi="Calibri"/>
        </w:rPr>
        <w:t>2015</w:t>
      </w:r>
      <w:r w:rsidRPr="0093655C">
        <w:rPr>
          <w:rFonts w:ascii="Calibri" w:hAnsi="Calibri"/>
        </w:rPr>
        <w:t xml:space="preserve"> appropriation is insufficient to meet the provisions of §4-1.04 a, </w:t>
      </w:r>
      <w:r w:rsidRPr="0093655C">
        <w:rPr>
          <w:rFonts w:ascii="Calibri" w:hAnsi="Calibri"/>
          <w:b/>
        </w:rPr>
        <w:t>Unappropriated Nongeneral Funds,</w:t>
      </w:r>
      <w:r w:rsidRPr="0093655C">
        <w:rPr>
          <w:rFonts w:ascii="Calibri" w:hAnsi="Calibri"/>
        </w:rPr>
        <w:t xml:space="preserve"> of the </w:t>
      </w:r>
      <w:r w:rsidR="00570627">
        <w:rPr>
          <w:rFonts w:ascii="Calibri" w:hAnsi="Calibri"/>
        </w:rPr>
        <w:t>2014</w:t>
      </w:r>
      <w:r w:rsidRPr="0093655C">
        <w:rPr>
          <w:rFonts w:ascii="Calibri" w:hAnsi="Calibri"/>
        </w:rPr>
        <w:t xml:space="preserve"> Appropriation Act.  </w:t>
      </w:r>
    </w:p>
    <w:p w:rsidR="0075776D" w:rsidRPr="0093655C" w:rsidRDefault="0075776D" w:rsidP="005F4A17">
      <w:pPr>
        <w:spacing w:after="0"/>
        <w:ind w:left="0"/>
        <w:rPr>
          <w:rFonts w:ascii="Calibri" w:hAnsi="Calibri"/>
        </w:rPr>
      </w:pPr>
    </w:p>
    <w:p w:rsidR="00CB5539" w:rsidRPr="0093655C" w:rsidRDefault="00CB5539" w:rsidP="00CB5539">
      <w:pPr>
        <w:pStyle w:val="BodyTextIndent"/>
        <w:tabs>
          <w:tab w:val="clear" w:pos="360"/>
        </w:tabs>
        <w:spacing w:after="0"/>
        <w:ind w:firstLine="0"/>
        <w:rPr>
          <w:rFonts w:ascii="Calibri" w:hAnsi="Calibri"/>
        </w:rPr>
      </w:pPr>
      <w:r w:rsidRPr="0093655C">
        <w:rPr>
          <w:rFonts w:ascii="Calibri" w:hAnsi="Calibri"/>
        </w:rPr>
        <w:t>To seek authorization to carry forward unexpended nongeneral fund balances, agencies should:</w:t>
      </w:r>
    </w:p>
    <w:p w:rsidR="00CB5539" w:rsidRPr="0093655C" w:rsidRDefault="00CB5539" w:rsidP="00CB5539">
      <w:pPr>
        <w:pStyle w:val="BodyTextIndent"/>
        <w:spacing w:after="0"/>
        <w:rPr>
          <w:rFonts w:ascii="Calibri" w:hAnsi="Calibri"/>
        </w:rPr>
      </w:pPr>
    </w:p>
    <w:p w:rsidR="00293E5B" w:rsidRDefault="00CB5539">
      <w:pPr>
        <w:numPr>
          <w:ilvl w:val="0"/>
          <w:numId w:val="14"/>
        </w:numPr>
        <w:spacing w:after="0"/>
        <w:rPr>
          <w:rFonts w:ascii="Calibri" w:hAnsi="Calibri"/>
        </w:rPr>
      </w:pPr>
      <w:r w:rsidRPr="0093655C">
        <w:rPr>
          <w:rFonts w:ascii="Calibri" w:hAnsi="Calibri"/>
        </w:rPr>
        <w:t xml:space="preserve">Verify on the final close CARS ACTR 402 report the actual unexpended cash balance.  </w:t>
      </w:r>
    </w:p>
    <w:p w:rsidR="00CB5539" w:rsidRPr="0093655C" w:rsidRDefault="00CB5539" w:rsidP="00CB5539">
      <w:pPr>
        <w:spacing w:after="0"/>
        <w:ind w:left="0"/>
        <w:rPr>
          <w:rFonts w:ascii="Calibri" w:hAnsi="Calibri"/>
        </w:rPr>
      </w:pPr>
    </w:p>
    <w:p w:rsidR="00293E5B" w:rsidRDefault="00CB5539">
      <w:pPr>
        <w:numPr>
          <w:ilvl w:val="0"/>
          <w:numId w:val="14"/>
        </w:numPr>
        <w:spacing w:after="0"/>
        <w:rPr>
          <w:rFonts w:ascii="Calibri" w:hAnsi="Calibri"/>
        </w:rPr>
      </w:pPr>
      <w:r w:rsidRPr="0093655C">
        <w:rPr>
          <w:rFonts w:ascii="Calibri" w:hAnsi="Calibri"/>
        </w:rPr>
        <w:t>Submit a budget execution adjustment</w:t>
      </w:r>
      <w:r w:rsidRPr="0093655C" w:rsidDel="00C03140">
        <w:rPr>
          <w:rFonts w:ascii="Calibri" w:hAnsi="Calibri"/>
        </w:rPr>
        <w:t xml:space="preserve"> </w:t>
      </w:r>
      <w:r w:rsidRPr="0093655C">
        <w:rPr>
          <w:rFonts w:ascii="Calibri" w:hAnsi="Calibri"/>
        </w:rPr>
        <w:t xml:space="preserve">(adjustment type “E” Nongeneral fund cash balance) to DPB requesting appropriation and allotment of the amount estimated to be needed in FY </w:t>
      </w:r>
      <w:r>
        <w:rPr>
          <w:rFonts w:ascii="Calibri" w:hAnsi="Calibri"/>
        </w:rPr>
        <w:t>2015</w:t>
      </w:r>
      <w:r w:rsidRPr="0093655C">
        <w:rPr>
          <w:rFonts w:ascii="Calibri" w:hAnsi="Calibri"/>
        </w:rPr>
        <w:t xml:space="preserve">.  If the entire balance is needed, it should be rounded up to the nearest dollar.    (See the PB system </w:t>
      </w:r>
      <w:r>
        <w:rPr>
          <w:rFonts w:ascii="Calibri" w:hAnsi="Calibri"/>
        </w:rPr>
        <w:t xml:space="preserve">HELP </w:t>
      </w:r>
      <w:r w:rsidRPr="0093655C">
        <w:rPr>
          <w:rFonts w:ascii="Calibri" w:hAnsi="Calibri"/>
        </w:rPr>
        <w:t>documentation for items that must be included in the brief.)</w:t>
      </w:r>
    </w:p>
    <w:p w:rsidR="00CB5539" w:rsidRDefault="00CB5539" w:rsidP="00CB5539">
      <w:pPr>
        <w:spacing w:after="0"/>
        <w:rPr>
          <w:rFonts w:ascii="Calibri" w:hAnsi="Calibri"/>
        </w:rPr>
      </w:pPr>
    </w:p>
    <w:p w:rsidR="00CB5539" w:rsidRDefault="005A3E47" w:rsidP="00CB5539">
      <w:pPr>
        <w:pStyle w:val="BodyTextIndent"/>
        <w:keepNext/>
        <w:tabs>
          <w:tab w:val="clear" w:pos="360"/>
        </w:tabs>
        <w:spacing w:after="0"/>
        <w:ind w:firstLine="0"/>
        <w:rPr>
          <w:rFonts w:ascii="Calibri" w:hAnsi="Calibri"/>
        </w:rPr>
      </w:pPr>
      <w:r w:rsidRPr="0093655C">
        <w:rPr>
          <w:rFonts w:ascii="Calibri" w:hAnsi="Calibri"/>
        </w:rPr>
        <w:t>For unexpended nongeneral funds</w:t>
      </w:r>
      <w:r w:rsidR="0075776D" w:rsidRPr="0093655C">
        <w:rPr>
          <w:rFonts w:ascii="Calibri" w:hAnsi="Calibri"/>
        </w:rPr>
        <w:t xml:space="preserve"> that </w:t>
      </w:r>
      <w:r w:rsidR="004F4F3F">
        <w:rPr>
          <w:rFonts w:ascii="Calibri" w:hAnsi="Calibri"/>
        </w:rPr>
        <w:t xml:space="preserve">need to be </w:t>
      </w:r>
      <w:r w:rsidR="0075776D" w:rsidRPr="0093655C">
        <w:rPr>
          <w:rFonts w:ascii="Calibri" w:hAnsi="Calibri"/>
        </w:rPr>
        <w:t xml:space="preserve">in place </w:t>
      </w:r>
      <w:r w:rsidR="004F4F3F">
        <w:rPr>
          <w:rFonts w:ascii="Calibri" w:hAnsi="Calibri"/>
        </w:rPr>
        <w:t>at the beginning of the new fiscal year</w:t>
      </w:r>
      <w:r w:rsidR="00CB5539">
        <w:rPr>
          <w:rFonts w:ascii="Calibri" w:hAnsi="Calibri"/>
        </w:rPr>
        <w:t>:</w:t>
      </w:r>
      <w:r w:rsidR="00CB5539">
        <w:rPr>
          <w:rFonts w:ascii="Calibri" w:hAnsi="Calibri"/>
        </w:rPr>
        <w:br/>
      </w:r>
    </w:p>
    <w:p w:rsidR="00293E5B" w:rsidRDefault="004F2679">
      <w:pPr>
        <w:pStyle w:val="BodyTextIndent"/>
        <w:keepNext/>
        <w:numPr>
          <w:ilvl w:val="0"/>
          <w:numId w:val="15"/>
        </w:numPr>
        <w:tabs>
          <w:tab w:val="clear" w:pos="360"/>
        </w:tabs>
        <w:spacing w:after="0"/>
        <w:rPr>
          <w:rFonts w:ascii="Calibri" w:hAnsi="Calibri"/>
        </w:rPr>
      </w:pPr>
      <w:r w:rsidRPr="00EB48D3">
        <w:rPr>
          <w:rFonts w:ascii="Calibri" w:hAnsi="Calibri"/>
        </w:rPr>
        <w:t>U</w:t>
      </w:r>
      <w:r w:rsidR="005A3E47" w:rsidRPr="00EB48D3">
        <w:rPr>
          <w:rFonts w:ascii="Calibri" w:hAnsi="Calibri"/>
        </w:rPr>
        <w:t>se</w:t>
      </w:r>
      <w:r w:rsidR="005A3E47" w:rsidRPr="0093655C">
        <w:rPr>
          <w:rFonts w:ascii="Calibri" w:hAnsi="Calibri"/>
        </w:rPr>
        <w:t xml:space="preserve"> adjustment type “</w:t>
      </w:r>
      <w:r w:rsidR="00FC73C7" w:rsidRPr="0093655C">
        <w:rPr>
          <w:rFonts w:ascii="Calibri" w:hAnsi="Calibri"/>
        </w:rPr>
        <w:t>E” (</w:t>
      </w:r>
      <w:r w:rsidR="005E4F88" w:rsidRPr="0093655C">
        <w:rPr>
          <w:rFonts w:ascii="Calibri" w:hAnsi="Calibri"/>
        </w:rPr>
        <w:t>Nongeneral fund cash balance</w:t>
      </w:r>
      <w:r w:rsidR="00FC73C7" w:rsidRPr="0093655C">
        <w:rPr>
          <w:rFonts w:ascii="Calibri" w:hAnsi="Calibri"/>
        </w:rPr>
        <w:t>)</w:t>
      </w:r>
      <w:r w:rsidR="00684A97" w:rsidRPr="0093655C">
        <w:rPr>
          <w:rFonts w:ascii="Calibri" w:hAnsi="Calibri"/>
        </w:rPr>
        <w:t xml:space="preserve"> and </w:t>
      </w:r>
      <w:r w:rsidR="00684A97" w:rsidRPr="0093655C">
        <w:rPr>
          <w:rFonts w:ascii="Calibri" w:hAnsi="Calibri"/>
          <w:b/>
        </w:rPr>
        <w:t>r</w:t>
      </w:r>
      <w:r w:rsidR="005A3E47" w:rsidRPr="0093655C">
        <w:rPr>
          <w:rFonts w:ascii="Calibri" w:hAnsi="Calibri"/>
          <w:b/>
        </w:rPr>
        <w:t>ound</w:t>
      </w:r>
      <w:r w:rsidR="005A3E47" w:rsidRPr="0093655C">
        <w:rPr>
          <w:rFonts w:ascii="Calibri" w:hAnsi="Calibri"/>
        </w:rPr>
        <w:t xml:space="preserve"> </w:t>
      </w:r>
      <w:r w:rsidR="00A034E0" w:rsidRPr="0093655C">
        <w:rPr>
          <w:rFonts w:ascii="Calibri" w:hAnsi="Calibri"/>
          <w:b/>
          <w:bCs/>
        </w:rPr>
        <w:t>up</w:t>
      </w:r>
      <w:r w:rsidR="00A034E0" w:rsidRPr="0093655C">
        <w:rPr>
          <w:rFonts w:ascii="Calibri" w:hAnsi="Calibri"/>
        </w:rPr>
        <w:t xml:space="preserve"> </w:t>
      </w:r>
      <w:r w:rsidR="005A3E47" w:rsidRPr="0093655C">
        <w:rPr>
          <w:rFonts w:ascii="Calibri" w:hAnsi="Calibri"/>
        </w:rPr>
        <w:t>the requested amount to the</w:t>
      </w:r>
      <w:r w:rsidR="00175DCB" w:rsidRPr="0093655C">
        <w:rPr>
          <w:rFonts w:ascii="Calibri" w:hAnsi="Calibri"/>
        </w:rPr>
        <w:t xml:space="preserve"> </w:t>
      </w:r>
      <w:r w:rsidR="005A3E47" w:rsidRPr="0093655C">
        <w:rPr>
          <w:rFonts w:ascii="Calibri" w:hAnsi="Calibri"/>
        </w:rPr>
        <w:t>nearest whole dollar.  The amount requested should not exceed the agency</w:t>
      </w:r>
      <w:r w:rsidR="00763D2D" w:rsidRPr="0093655C">
        <w:rPr>
          <w:rFonts w:ascii="Calibri" w:hAnsi="Calibri"/>
        </w:rPr>
        <w:t xml:space="preserve">’s </w:t>
      </w:r>
      <w:r w:rsidR="005A3E47" w:rsidRPr="0093655C">
        <w:rPr>
          <w:rFonts w:ascii="Calibri" w:hAnsi="Calibri"/>
        </w:rPr>
        <w:t xml:space="preserve">estimate of the cash balance </w:t>
      </w:r>
      <w:r w:rsidR="00895BB0" w:rsidRPr="0093655C">
        <w:rPr>
          <w:rFonts w:ascii="Calibri" w:hAnsi="Calibri"/>
        </w:rPr>
        <w:t xml:space="preserve">in that fund detail </w:t>
      </w:r>
      <w:r w:rsidR="005A3E47" w:rsidRPr="0093655C">
        <w:rPr>
          <w:rFonts w:ascii="Calibri" w:hAnsi="Calibri"/>
        </w:rPr>
        <w:t xml:space="preserve">that will be unexpended on June 30, </w:t>
      </w:r>
      <w:r w:rsidR="00570627">
        <w:rPr>
          <w:rFonts w:ascii="Calibri" w:hAnsi="Calibri"/>
        </w:rPr>
        <w:t>2014</w:t>
      </w:r>
      <w:r w:rsidR="005A3E47" w:rsidRPr="0093655C">
        <w:rPr>
          <w:rFonts w:ascii="Calibri" w:hAnsi="Calibri"/>
        </w:rPr>
        <w:t xml:space="preserve">.  </w:t>
      </w:r>
    </w:p>
    <w:p w:rsidR="00293E5B" w:rsidRDefault="00D45797">
      <w:pPr>
        <w:pStyle w:val="BodyTextIndent"/>
        <w:keepNext/>
        <w:numPr>
          <w:ilvl w:val="0"/>
          <w:numId w:val="15"/>
        </w:numPr>
        <w:tabs>
          <w:tab w:val="clear" w:pos="360"/>
        </w:tabs>
        <w:spacing w:after="0"/>
        <w:rPr>
          <w:rFonts w:ascii="Calibri" w:hAnsi="Calibri"/>
        </w:rPr>
      </w:pPr>
      <w:r w:rsidRPr="0093655C">
        <w:rPr>
          <w:rFonts w:ascii="Calibri" w:hAnsi="Calibri"/>
        </w:rPr>
        <w:t xml:space="preserve">Some of the June 30, </w:t>
      </w:r>
      <w:r w:rsidR="00452BD9">
        <w:rPr>
          <w:rFonts w:ascii="Calibri" w:hAnsi="Calibri"/>
        </w:rPr>
        <w:t>2014</w:t>
      </w:r>
      <w:r w:rsidR="00D77026" w:rsidRPr="0093655C">
        <w:rPr>
          <w:rFonts w:ascii="Calibri" w:hAnsi="Calibri"/>
        </w:rPr>
        <w:t>,</w:t>
      </w:r>
      <w:r w:rsidRPr="0093655C">
        <w:rPr>
          <w:rFonts w:ascii="Calibri" w:hAnsi="Calibri"/>
        </w:rPr>
        <w:t xml:space="preserve"> cash balance may have been anticipated during budget development and included in the </w:t>
      </w:r>
      <w:r w:rsidR="00C03140" w:rsidRPr="0093655C">
        <w:rPr>
          <w:rFonts w:ascii="Calibri" w:hAnsi="Calibri"/>
        </w:rPr>
        <w:t xml:space="preserve">FY </w:t>
      </w:r>
      <w:r w:rsidR="00570627">
        <w:rPr>
          <w:rFonts w:ascii="Calibri" w:hAnsi="Calibri"/>
        </w:rPr>
        <w:t>2015</w:t>
      </w:r>
      <w:r w:rsidR="002461F2" w:rsidRPr="0093655C">
        <w:rPr>
          <w:rFonts w:ascii="Calibri" w:hAnsi="Calibri"/>
        </w:rPr>
        <w:t xml:space="preserve"> </w:t>
      </w:r>
      <w:r w:rsidR="00F94B9A" w:rsidRPr="0093655C">
        <w:rPr>
          <w:rFonts w:ascii="Calibri" w:hAnsi="Calibri"/>
        </w:rPr>
        <w:t xml:space="preserve">nongeneral </w:t>
      </w:r>
      <w:r w:rsidR="00316950" w:rsidRPr="0093655C">
        <w:rPr>
          <w:rFonts w:ascii="Calibri" w:hAnsi="Calibri"/>
        </w:rPr>
        <w:t>fund appropriations</w:t>
      </w:r>
      <w:r w:rsidRPr="0093655C">
        <w:rPr>
          <w:rFonts w:ascii="Calibri" w:hAnsi="Calibri"/>
        </w:rPr>
        <w:t xml:space="preserve"> in the </w:t>
      </w:r>
      <w:r w:rsidR="00985B72" w:rsidRPr="0093655C">
        <w:rPr>
          <w:rFonts w:ascii="Calibri" w:hAnsi="Calibri"/>
        </w:rPr>
        <w:t>a</w:t>
      </w:r>
      <w:r w:rsidRPr="0093655C">
        <w:rPr>
          <w:rFonts w:ascii="Calibri" w:hAnsi="Calibri"/>
        </w:rPr>
        <w:t>ct.  If so, such amount</w:t>
      </w:r>
      <w:r w:rsidR="00F94B9A" w:rsidRPr="0093655C">
        <w:rPr>
          <w:rFonts w:ascii="Calibri" w:hAnsi="Calibri"/>
        </w:rPr>
        <w:t>s</w:t>
      </w:r>
      <w:r w:rsidRPr="0093655C">
        <w:rPr>
          <w:rFonts w:ascii="Calibri" w:hAnsi="Calibri"/>
        </w:rPr>
        <w:t xml:space="preserve"> </w:t>
      </w:r>
      <w:r w:rsidR="00F94B9A" w:rsidRPr="0093655C">
        <w:rPr>
          <w:rFonts w:ascii="Calibri" w:hAnsi="Calibri"/>
        </w:rPr>
        <w:t>should be netted out of your</w:t>
      </w:r>
      <w:r w:rsidR="00763D2D" w:rsidRPr="0093655C">
        <w:rPr>
          <w:rFonts w:ascii="Calibri" w:hAnsi="Calibri"/>
        </w:rPr>
        <w:t xml:space="preserve"> </w:t>
      </w:r>
      <w:r w:rsidRPr="0093655C">
        <w:rPr>
          <w:rFonts w:ascii="Calibri" w:hAnsi="Calibri"/>
        </w:rPr>
        <w:t>adjustment</w:t>
      </w:r>
      <w:r w:rsidR="00F94B9A" w:rsidRPr="0093655C">
        <w:rPr>
          <w:rFonts w:ascii="Calibri" w:hAnsi="Calibri"/>
        </w:rPr>
        <w:t xml:space="preserve"> request</w:t>
      </w:r>
      <w:r w:rsidR="002A33F3" w:rsidRPr="0093655C">
        <w:rPr>
          <w:rFonts w:ascii="Calibri" w:hAnsi="Calibri"/>
        </w:rPr>
        <w:t xml:space="preserve">. </w:t>
      </w:r>
      <w:r w:rsidRPr="0093655C">
        <w:rPr>
          <w:rFonts w:ascii="Calibri" w:hAnsi="Calibri"/>
        </w:rPr>
        <w:t xml:space="preserve"> </w:t>
      </w:r>
    </w:p>
    <w:p w:rsidR="00293E5B" w:rsidRDefault="005A3E47">
      <w:pPr>
        <w:pStyle w:val="BodyTextIndent"/>
        <w:numPr>
          <w:ilvl w:val="0"/>
          <w:numId w:val="15"/>
        </w:numPr>
        <w:tabs>
          <w:tab w:val="clear" w:pos="360"/>
        </w:tabs>
        <w:spacing w:after="0"/>
        <w:rPr>
          <w:rFonts w:ascii="Calibri" w:hAnsi="Calibri"/>
        </w:rPr>
      </w:pPr>
      <w:r w:rsidRPr="0093655C">
        <w:rPr>
          <w:rFonts w:ascii="Calibri" w:hAnsi="Calibri"/>
        </w:rPr>
        <w:t>The transaction brief should clearly describe how the funds will be used</w:t>
      </w:r>
      <w:r w:rsidR="002E70C2" w:rsidRPr="0093655C">
        <w:rPr>
          <w:rFonts w:ascii="Calibri" w:hAnsi="Calibri"/>
        </w:rPr>
        <w:t>,</w:t>
      </w:r>
      <w:r w:rsidRPr="0093655C">
        <w:rPr>
          <w:rFonts w:ascii="Calibri" w:hAnsi="Calibri"/>
        </w:rPr>
        <w:t xml:space="preserve"> the need for the appropriation</w:t>
      </w:r>
      <w:r w:rsidR="002E70C2" w:rsidRPr="0093655C">
        <w:rPr>
          <w:rFonts w:ascii="Calibri" w:hAnsi="Calibri"/>
        </w:rPr>
        <w:t>,</w:t>
      </w:r>
      <w:r w:rsidRPr="0093655C">
        <w:rPr>
          <w:rFonts w:ascii="Calibri" w:hAnsi="Calibri"/>
        </w:rPr>
        <w:t xml:space="preserve"> and note that it is an estimated amount.  </w:t>
      </w:r>
      <w:r w:rsidR="00AC5489" w:rsidRPr="0093655C">
        <w:rPr>
          <w:rFonts w:ascii="Calibri" w:hAnsi="Calibri"/>
        </w:rPr>
        <w:t>T</w:t>
      </w:r>
      <w:r w:rsidRPr="0093655C">
        <w:rPr>
          <w:rFonts w:ascii="Calibri" w:hAnsi="Calibri"/>
        </w:rPr>
        <w:t xml:space="preserve">he </w:t>
      </w:r>
      <w:r w:rsidR="00C03140" w:rsidRPr="0093655C">
        <w:rPr>
          <w:rFonts w:ascii="Calibri" w:hAnsi="Calibri"/>
        </w:rPr>
        <w:t xml:space="preserve">PB </w:t>
      </w:r>
      <w:r w:rsidR="0013093A" w:rsidRPr="0093655C">
        <w:rPr>
          <w:rFonts w:ascii="Calibri" w:hAnsi="Calibri"/>
        </w:rPr>
        <w:t xml:space="preserve">system </w:t>
      </w:r>
      <w:r w:rsidR="00AC5489" w:rsidRPr="0093655C">
        <w:rPr>
          <w:rFonts w:ascii="Calibri" w:hAnsi="Calibri"/>
        </w:rPr>
        <w:t xml:space="preserve">documentation </w:t>
      </w:r>
      <w:r w:rsidR="001403B5" w:rsidRPr="0093655C">
        <w:rPr>
          <w:rFonts w:ascii="Calibri" w:hAnsi="Calibri"/>
        </w:rPr>
        <w:t>list</w:t>
      </w:r>
      <w:r w:rsidR="00AC5489" w:rsidRPr="0093655C">
        <w:rPr>
          <w:rFonts w:ascii="Calibri" w:hAnsi="Calibri"/>
        </w:rPr>
        <w:t>s</w:t>
      </w:r>
      <w:r w:rsidRPr="0093655C">
        <w:rPr>
          <w:rFonts w:ascii="Calibri" w:hAnsi="Calibri"/>
        </w:rPr>
        <w:t xml:space="preserve"> the questions that must be addressed in the </w:t>
      </w:r>
      <w:r w:rsidR="00AC5489" w:rsidRPr="0093655C">
        <w:rPr>
          <w:rFonts w:ascii="Calibri" w:hAnsi="Calibri"/>
        </w:rPr>
        <w:t>budget execution</w:t>
      </w:r>
      <w:r w:rsidR="0013093A" w:rsidRPr="0093655C">
        <w:rPr>
          <w:rFonts w:ascii="Calibri" w:hAnsi="Calibri"/>
        </w:rPr>
        <w:t xml:space="preserve"> </w:t>
      </w:r>
      <w:r w:rsidR="00AC5489" w:rsidRPr="0093655C">
        <w:rPr>
          <w:rFonts w:ascii="Calibri" w:hAnsi="Calibri"/>
        </w:rPr>
        <w:t xml:space="preserve">adjustment </w:t>
      </w:r>
      <w:r w:rsidR="0013093A" w:rsidRPr="0093655C">
        <w:rPr>
          <w:rFonts w:ascii="Calibri" w:hAnsi="Calibri"/>
        </w:rPr>
        <w:t>transaction</w:t>
      </w:r>
      <w:r w:rsidRPr="0093655C">
        <w:rPr>
          <w:rFonts w:ascii="Calibri" w:hAnsi="Calibri"/>
        </w:rPr>
        <w:t xml:space="preserve"> brief.  </w:t>
      </w:r>
    </w:p>
    <w:p w:rsidR="00293E5B" w:rsidRDefault="005A3E47">
      <w:pPr>
        <w:pStyle w:val="BodyTextIndent"/>
        <w:numPr>
          <w:ilvl w:val="0"/>
          <w:numId w:val="15"/>
        </w:numPr>
        <w:tabs>
          <w:tab w:val="clear" w:pos="360"/>
        </w:tabs>
        <w:spacing w:after="0"/>
        <w:rPr>
          <w:rFonts w:ascii="Calibri" w:hAnsi="Calibri"/>
        </w:rPr>
      </w:pPr>
      <w:r w:rsidRPr="0093655C">
        <w:rPr>
          <w:rFonts w:ascii="Calibri" w:hAnsi="Calibri"/>
        </w:rPr>
        <w:t xml:space="preserve">The </w:t>
      </w:r>
      <w:r w:rsidR="005B6A56" w:rsidRPr="0093655C">
        <w:rPr>
          <w:rFonts w:ascii="Calibri" w:hAnsi="Calibri"/>
        </w:rPr>
        <w:t>S</w:t>
      </w:r>
      <w:r w:rsidR="00384458" w:rsidRPr="0093655C">
        <w:rPr>
          <w:rFonts w:ascii="Calibri" w:hAnsi="Calibri"/>
        </w:rPr>
        <w:t xml:space="preserve">tate </w:t>
      </w:r>
      <w:r w:rsidR="005B6A56" w:rsidRPr="0093655C">
        <w:rPr>
          <w:rFonts w:ascii="Calibri" w:hAnsi="Calibri"/>
        </w:rPr>
        <w:t>C</w:t>
      </w:r>
      <w:r w:rsidRPr="0093655C">
        <w:rPr>
          <w:rFonts w:ascii="Calibri" w:hAnsi="Calibri"/>
        </w:rPr>
        <w:t xml:space="preserve">omptroller will close the fiscal year on </w:t>
      </w:r>
      <w:r w:rsidRPr="00DA4541">
        <w:rPr>
          <w:rFonts w:ascii="Calibri" w:hAnsi="Calibri"/>
          <w:b/>
        </w:rPr>
        <w:t xml:space="preserve">July </w:t>
      </w:r>
      <w:r w:rsidR="00BF361D">
        <w:rPr>
          <w:rFonts w:ascii="Calibri" w:hAnsi="Calibri"/>
          <w:b/>
        </w:rPr>
        <w:t>24</w:t>
      </w:r>
      <w:r w:rsidR="00583595" w:rsidRPr="00DA4541">
        <w:rPr>
          <w:rFonts w:ascii="Calibri" w:hAnsi="Calibri"/>
          <w:b/>
        </w:rPr>
        <w:t>,</w:t>
      </w:r>
      <w:r w:rsidR="00081A01" w:rsidRPr="00DA4541">
        <w:rPr>
          <w:rFonts w:ascii="Calibri" w:hAnsi="Calibri"/>
          <w:b/>
        </w:rPr>
        <w:t xml:space="preserve"> </w:t>
      </w:r>
      <w:r w:rsidR="00570627" w:rsidRPr="00DA4541">
        <w:rPr>
          <w:rFonts w:ascii="Calibri" w:hAnsi="Calibri"/>
          <w:b/>
        </w:rPr>
        <w:t>2014</w:t>
      </w:r>
      <w:r w:rsidR="002E70C2" w:rsidRPr="0093655C">
        <w:rPr>
          <w:rFonts w:ascii="Calibri" w:hAnsi="Calibri"/>
        </w:rPr>
        <w:t>,</w:t>
      </w:r>
      <w:r w:rsidRPr="0093655C">
        <w:rPr>
          <w:rFonts w:ascii="Calibri" w:hAnsi="Calibri"/>
        </w:rPr>
        <w:t xml:space="preserve"> and report the exact amount of the unexpended appropriations in the last week of July in the year</w:t>
      </w:r>
      <w:r w:rsidR="00985B72" w:rsidRPr="0093655C">
        <w:rPr>
          <w:rFonts w:ascii="Calibri" w:hAnsi="Calibri"/>
        </w:rPr>
        <w:t>-</w:t>
      </w:r>
      <w:r w:rsidRPr="0093655C">
        <w:rPr>
          <w:rFonts w:ascii="Calibri" w:hAnsi="Calibri"/>
        </w:rPr>
        <w:t>end reports.  If the original</w:t>
      </w:r>
      <w:r w:rsidR="00985B72" w:rsidRPr="0093655C">
        <w:rPr>
          <w:rFonts w:ascii="Calibri" w:hAnsi="Calibri"/>
        </w:rPr>
        <w:t>ly</w:t>
      </w:r>
      <w:r w:rsidRPr="0093655C">
        <w:rPr>
          <w:rFonts w:ascii="Calibri" w:hAnsi="Calibri"/>
        </w:rPr>
        <w:t xml:space="preserve"> requested amount exceeds the </w:t>
      </w:r>
      <w:r w:rsidR="00E76A12" w:rsidRPr="0093655C">
        <w:rPr>
          <w:rFonts w:ascii="Calibri" w:hAnsi="Calibri"/>
        </w:rPr>
        <w:t xml:space="preserve">final </w:t>
      </w:r>
      <w:r w:rsidRPr="0093655C">
        <w:rPr>
          <w:rFonts w:ascii="Calibri" w:hAnsi="Calibri"/>
        </w:rPr>
        <w:t xml:space="preserve">amount reported by the </w:t>
      </w:r>
      <w:r w:rsidR="005B6A56" w:rsidRPr="0093655C">
        <w:rPr>
          <w:rFonts w:ascii="Calibri" w:hAnsi="Calibri"/>
        </w:rPr>
        <w:t>S</w:t>
      </w:r>
      <w:r w:rsidR="00384458" w:rsidRPr="0093655C">
        <w:rPr>
          <w:rFonts w:ascii="Calibri" w:hAnsi="Calibri"/>
        </w:rPr>
        <w:t xml:space="preserve">tate </w:t>
      </w:r>
      <w:r w:rsidR="005B6A56" w:rsidRPr="0093655C">
        <w:rPr>
          <w:rFonts w:ascii="Calibri" w:hAnsi="Calibri"/>
        </w:rPr>
        <w:t>C</w:t>
      </w:r>
      <w:r w:rsidRPr="0093655C">
        <w:rPr>
          <w:rFonts w:ascii="Calibri" w:hAnsi="Calibri"/>
        </w:rPr>
        <w:t xml:space="preserve">omptroller, </w:t>
      </w:r>
      <w:r w:rsidR="002A33F3" w:rsidRPr="0093655C">
        <w:rPr>
          <w:rFonts w:ascii="Calibri" w:hAnsi="Calibri"/>
        </w:rPr>
        <w:t xml:space="preserve">the agency must </w:t>
      </w:r>
      <w:r w:rsidRPr="0093655C">
        <w:rPr>
          <w:rFonts w:ascii="Calibri" w:hAnsi="Calibri"/>
        </w:rPr>
        <w:t xml:space="preserve">submit another </w:t>
      </w:r>
      <w:r w:rsidR="00E95B48" w:rsidRPr="0093655C">
        <w:rPr>
          <w:rFonts w:ascii="Calibri" w:hAnsi="Calibri"/>
        </w:rPr>
        <w:t>budget execution adjustment</w:t>
      </w:r>
      <w:r w:rsidRPr="0093655C">
        <w:rPr>
          <w:rFonts w:ascii="Calibri" w:hAnsi="Calibri"/>
        </w:rPr>
        <w:t xml:space="preserve"> to adjust the original request down to the </w:t>
      </w:r>
      <w:r w:rsidR="00E95B48" w:rsidRPr="0093655C">
        <w:rPr>
          <w:rFonts w:ascii="Calibri" w:hAnsi="Calibri"/>
        </w:rPr>
        <w:t>actual</w:t>
      </w:r>
      <w:r w:rsidRPr="0093655C">
        <w:rPr>
          <w:rFonts w:ascii="Calibri" w:hAnsi="Calibri"/>
        </w:rPr>
        <w:t xml:space="preserve"> amount.</w:t>
      </w:r>
    </w:p>
    <w:p w:rsidR="00DA4541" w:rsidRDefault="00DA4541" w:rsidP="001820E9">
      <w:pPr>
        <w:spacing w:after="0"/>
        <w:ind w:left="0"/>
        <w:rPr>
          <w:rFonts w:ascii="Calibri" w:hAnsi="Calibri"/>
        </w:rPr>
      </w:pPr>
    </w:p>
    <w:p w:rsidR="004F4F3F" w:rsidRPr="0093655C" w:rsidRDefault="004F4F3F" w:rsidP="001820E9">
      <w:pPr>
        <w:spacing w:after="0"/>
        <w:ind w:left="0"/>
        <w:rPr>
          <w:rFonts w:ascii="Calibri" w:hAnsi="Calibri"/>
        </w:rPr>
      </w:pPr>
    </w:p>
    <w:p w:rsidR="005A3E47" w:rsidRPr="0086018D" w:rsidRDefault="005A3E47" w:rsidP="0086018D">
      <w:pPr>
        <w:pStyle w:val="HelpTopic"/>
      </w:pPr>
      <w:bookmarkStart w:id="6" w:name="_Toc101848181"/>
      <w:bookmarkStart w:id="7" w:name="_Toc102895212"/>
      <w:r w:rsidRPr="0086018D">
        <w:lastRenderedPageBreak/>
        <w:t xml:space="preserve">Additional </w:t>
      </w:r>
      <w:r w:rsidR="00DA511A" w:rsidRPr="0086018D">
        <w:t>N</w:t>
      </w:r>
      <w:r w:rsidRPr="0086018D">
        <w:t xml:space="preserve">ongeneral </w:t>
      </w:r>
      <w:r w:rsidR="00DA511A" w:rsidRPr="0086018D">
        <w:t>F</w:t>
      </w:r>
      <w:r w:rsidRPr="0086018D">
        <w:t xml:space="preserve">und </w:t>
      </w:r>
      <w:r w:rsidR="00DA511A" w:rsidRPr="0086018D">
        <w:t>R</w:t>
      </w:r>
      <w:r w:rsidRPr="0086018D">
        <w:t xml:space="preserve">evenue </w:t>
      </w:r>
      <w:r w:rsidR="00DA511A" w:rsidRPr="0086018D">
        <w:t>A</w:t>
      </w:r>
      <w:r w:rsidRPr="0086018D">
        <w:t>ppropriations</w:t>
      </w:r>
      <w:bookmarkEnd w:id="6"/>
      <w:bookmarkEnd w:id="7"/>
    </w:p>
    <w:p w:rsidR="005A3E47" w:rsidRPr="0093655C" w:rsidRDefault="005A3E47" w:rsidP="00DA4541">
      <w:pPr>
        <w:pStyle w:val="BodyTextIndent"/>
        <w:tabs>
          <w:tab w:val="clear" w:pos="360"/>
        </w:tabs>
        <w:spacing w:after="0"/>
        <w:ind w:firstLine="0"/>
        <w:rPr>
          <w:rFonts w:ascii="Calibri" w:hAnsi="Calibri"/>
        </w:rPr>
      </w:pPr>
      <w:r w:rsidRPr="0093655C">
        <w:rPr>
          <w:rFonts w:ascii="Calibri" w:hAnsi="Calibri"/>
        </w:rPr>
        <w:t xml:space="preserve">If the agency </w:t>
      </w:r>
      <w:r w:rsidR="002C6F17" w:rsidRPr="0093655C">
        <w:rPr>
          <w:rFonts w:ascii="Calibri" w:hAnsi="Calibri"/>
        </w:rPr>
        <w:t>wishes</w:t>
      </w:r>
      <w:r w:rsidRPr="0093655C">
        <w:rPr>
          <w:rFonts w:ascii="Calibri" w:hAnsi="Calibri"/>
        </w:rPr>
        <w:t xml:space="preserve"> to create a nongeneral fund operating appropriation on or after July 1 in anticipation of new or supplemental revenues to be received in </w:t>
      </w:r>
      <w:r w:rsidR="00C03140" w:rsidRPr="0093655C">
        <w:rPr>
          <w:rFonts w:ascii="Calibri" w:hAnsi="Calibri"/>
        </w:rPr>
        <w:t xml:space="preserve">FY </w:t>
      </w:r>
      <w:r w:rsidR="00570627">
        <w:rPr>
          <w:rFonts w:ascii="Calibri" w:hAnsi="Calibri"/>
        </w:rPr>
        <w:t>2015</w:t>
      </w:r>
      <w:r w:rsidRPr="0093655C">
        <w:rPr>
          <w:rFonts w:ascii="Calibri" w:hAnsi="Calibri"/>
        </w:rPr>
        <w:t xml:space="preserve">, a </w:t>
      </w:r>
      <w:r w:rsidR="000405C8" w:rsidRPr="0093655C">
        <w:rPr>
          <w:rFonts w:ascii="Calibri" w:hAnsi="Calibri"/>
        </w:rPr>
        <w:t>budget execution adjustment</w:t>
      </w:r>
      <w:r w:rsidRPr="0093655C">
        <w:rPr>
          <w:rFonts w:ascii="Calibri" w:hAnsi="Calibri"/>
        </w:rPr>
        <w:t xml:space="preserve"> (adjustment type </w:t>
      </w:r>
      <w:r w:rsidR="007D0141" w:rsidRPr="0093655C">
        <w:rPr>
          <w:rFonts w:ascii="Calibri" w:hAnsi="Calibri"/>
        </w:rPr>
        <w:t>“</w:t>
      </w:r>
      <w:r w:rsidR="002C6F17" w:rsidRPr="0093655C">
        <w:rPr>
          <w:rFonts w:ascii="Calibri" w:hAnsi="Calibri"/>
        </w:rPr>
        <w:t xml:space="preserve">G” </w:t>
      </w:r>
      <w:r w:rsidR="007C19E6" w:rsidRPr="0093655C">
        <w:rPr>
          <w:rFonts w:ascii="Calibri" w:hAnsi="Calibri"/>
        </w:rPr>
        <w:t>Nongeneral fund revenue adjustment</w:t>
      </w:r>
      <w:r w:rsidRPr="0093655C">
        <w:rPr>
          <w:rFonts w:ascii="Calibri" w:hAnsi="Calibri"/>
        </w:rPr>
        <w:t xml:space="preserve">) must be submitted.  The request must be consistent with the provisions </w:t>
      </w:r>
      <w:r w:rsidR="001129A6" w:rsidRPr="0093655C">
        <w:rPr>
          <w:rFonts w:ascii="Calibri" w:hAnsi="Calibri"/>
        </w:rPr>
        <w:t>of</w:t>
      </w:r>
      <w:r w:rsidR="005E03CB" w:rsidRPr="0093655C">
        <w:rPr>
          <w:rFonts w:ascii="Calibri" w:hAnsi="Calibri"/>
        </w:rPr>
        <w:t xml:space="preserve"> §</w:t>
      </w:r>
      <w:r w:rsidRPr="0093655C">
        <w:rPr>
          <w:rFonts w:ascii="Calibri" w:hAnsi="Calibri"/>
        </w:rPr>
        <w:t>4-1.04 of the Appropriation Act and include a transaction brief clearly explaining and justifying how the additional nongeneral funds will be expended</w:t>
      </w:r>
      <w:r w:rsidR="0006255E" w:rsidRPr="0093655C">
        <w:rPr>
          <w:rFonts w:ascii="Calibri" w:hAnsi="Calibri"/>
        </w:rPr>
        <w:t xml:space="preserve"> and why the additional appropriation is needed</w:t>
      </w:r>
      <w:r w:rsidR="003639C3" w:rsidRPr="0093655C">
        <w:rPr>
          <w:rFonts w:ascii="Calibri" w:hAnsi="Calibri"/>
        </w:rPr>
        <w:t xml:space="preserve">.  </w:t>
      </w:r>
      <w:r w:rsidR="00D95C50" w:rsidRPr="0093655C">
        <w:rPr>
          <w:rFonts w:ascii="Calibri" w:hAnsi="Calibri"/>
        </w:rPr>
        <w:t>The brief should a</w:t>
      </w:r>
      <w:r w:rsidR="003639C3" w:rsidRPr="0093655C">
        <w:rPr>
          <w:rFonts w:ascii="Calibri" w:hAnsi="Calibri"/>
        </w:rPr>
        <w:t>lso</w:t>
      </w:r>
      <w:r w:rsidR="00D95C50" w:rsidRPr="0093655C">
        <w:rPr>
          <w:rFonts w:ascii="Calibri" w:hAnsi="Calibri"/>
        </w:rPr>
        <w:t xml:space="preserve"> </w:t>
      </w:r>
      <w:r w:rsidR="003639C3" w:rsidRPr="0093655C">
        <w:rPr>
          <w:rFonts w:ascii="Calibri" w:hAnsi="Calibri"/>
        </w:rPr>
        <w:t>describe the additional funding source</w:t>
      </w:r>
      <w:r w:rsidRPr="0093655C">
        <w:rPr>
          <w:rFonts w:ascii="Calibri" w:hAnsi="Calibri"/>
        </w:rPr>
        <w:t xml:space="preserve"> and include the revenue source code</w:t>
      </w:r>
      <w:r w:rsidR="0030697C" w:rsidRPr="0093655C">
        <w:rPr>
          <w:rFonts w:ascii="Calibri" w:hAnsi="Calibri"/>
        </w:rPr>
        <w:t>(s) for the additional nongeneral fund revenue</w:t>
      </w:r>
      <w:r w:rsidRPr="0093655C">
        <w:rPr>
          <w:rFonts w:ascii="Calibri" w:hAnsi="Calibri"/>
        </w:rPr>
        <w:t xml:space="preserve">.  </w:t>
      </w:r>
      <w:r w:rsidR="001129A6" w:rsidRPr="0093655C">
        <w:rPr>
          <w:rFonts w:ascii="Calibri" w:hAnsi="Calibri"/>
        </w:rPr>
        <w:t>The</w:t>
      </w:r>
      <w:r w:rsidRPr="0093655C">
        <w:rPr>
          <w:rFonts w:ascii="Calibri" w:hAnsi="Calibri"/>
        </w:rPr>
        <w:t xml:space="preserve"> </w:t>
      </w:r>
      <w:r w:rsidR="00FF15DD" w:rsidRPr="0093655C">
        <w:rPr>
          <w:rFonts w:ascii="Calibri" w:hAnsi="Calibri"/>
        </w:rPr>
        <w:t>PB</w:t>
      </w:r>
      <w:r w:rsidR="00F9528D" w:rsidRPr="0093655C">
        <w:rPr>
          <w:rFonts w:ascii="Calibri" w:hAnsi="Calibri"/>
        </w:rPr>
        <w:t xml:space="preserve"> </w:t>
      </w:r>
      <w:r w:rsidR="002C6F17" w:rsidRPr="0093655C">
        <w:rPr>
          <w:rFonts w:ascii="Calibri" w:hAnsi="Calibri"/>
        </w:rPr>
        <w:t>s</w:t>
      </w:r>
      <w:r w:rsidR="0013093A" w:rsidRPr="0093655C">
        <w:rPr>
          <w:rFonts w:ascii="Calibri" w:hAnsi="Calibri"/>
        </w:rPr>
        <w:t xml:space="preserve">ystem </w:t>
      </w:r>
      <w:r w:rsidR="001129A6" w:rsidRPr="0093655C">
        <w:rPr>
          <w:rFonts w:ascii="Calibri" w:hAnsi="Calibri"/>
        </w:rPr>
        <w:t>documentation</w:t>
      </w:r>
      <w:r w:rsidRPr="0093655C">
        <w:rPr>
          <w:rFonts w:ascii="Calibri" w:hAnsi="Calibri"/>
        </w:rPr>
        <w:t xml:space="preserve"> lists the questions that must be addressed in the </w:t>
      </w:r>
      <w:r w:rsidR="001129A6" w:rsidRPr="0093655C">
        <w:rPr>
          <w:rFonts w:ascii="Calibri" w:hAnsi="Calibri"/>
        </w:rPr>
        <w:t>budget execution adjustment transaction</w:t>
      </w:r>
      <w:r w:rsidRPr="0093655C">
        <w:rPr>
          <w:rFonts w:ascii="Calibri" w:hAnsi="Calibri"/>
        </w:rPr>
        <w:t xml:space="preserve"> brief.  It is the agency’s responsibility to provide cash to support the appropriation thus created.</w:t>
      </w:r>
    </w:p>
    <w:p w:rsidR="00D4472E" w:rsidRPr="0093655C" w:rsidRDefault="00D4472E" w:rsidP="00D4472E">
      <w:pPr>
        <w:spacing w:after="0"/>
        <w:ind w:left="0"/>
        <w:rPr>
          <w:rFonts w:ascii="Calibri" w:hAnsi="Calibri"/>
        </w:rPr>
      </w:pPr>
      <w:bookmarkStart w:id="8" w:name="_Toc101848182"/>
      <w:bookmarkStart w:id="9" w:name="_Toc102895213"/>
    </w:p>
    <w:p w:rsidR="00FF5285" w:rsidRPr="0086018D" w:rsidRDefault="00FF5285" w:rsidP="0086018D">
      <w:pPr>
        <w:pStyle w:val="HelpTopic"/>
      </w:pPr>
      <w:bookmarkStart w:id="10" w:name="_Toc101848178"/>
      <w:bookmarkStart w:id="11" w:name="_Toc102895209"/>
      <w:bookmarkStart w:id="12" w:name="_Toc101848184"/>
      <w:bookmarkStart w:id="13" w:name="_Toc102895215"/>
      <w:bookmarkEnd w:id="8"/>
      <w:bookmarkEnd w:id="9"/>
      <w:r w:rsidRPr="0086018D">
        <w:t>Clearing Out Convenience Subobject and Fund Codes</w:t>
      </w:r>
      <w:bookmarkEnd w:id="10"/>
      <w:bookmarkEnd w:id="11"/>
      <w:r w:rsidRPr="0086018D">
        <w:t xml:space="preserve"> </w:t>
      </w:r>
    </w:p>
    <w:p w:rsidR="005376DD" w:rsidRPr="0093655C" w:rsidRDefault="0064506D" w:rsidP="00DA4541">
      <w:pPr>
        <w:pStyle w:val="BodyTextIndent"/>
        <w:tabs>
          <w:tab w:val="clear" w:pos="360"/>
        </w:tabs>
        <w:spacing w:after="0"/>
        <w:ind w:firstLine="0"/>
        <w:rPr>
          <w:rFonts w:ascii="Calibri" w:hAnsi="Calibri"/>
        </w:rPr>
      </w:pPr>
      <w:r w:rsidRPr="0093655C">
        <w:rPr>
          <w:rFonts w:ascii="Calibri" w:hAnsi="Calibri"/>
        </w:rPr>
        <w:t xml:space="preserve">An agency’s </w:t>
      </w:r>
      <w:r w:rsidR="00FF5285" w:rsidRPr="0093655C">
        <w:rPr>
          <w:rFonts w:ascii="Calibri" w:hAnsi="Calibri"/>
        </w:rPr>
        <w:t xml:space="preserve">initial appropriations for FY </w:t>
      </w:r>
      <w:r w:rsidR="00570627">
        <w:rPr>
          <w:rFonts w:ascii="Calibri" w:hAnsi="Calibri"/>
        </w:rPr>
        <w:t>2015</w:t>
      </w:r>
      <w:r w:rsidR="001153EB" w:rsidRPr="0093655C">
        <w:rPr>
          <w:rFonts w:ascii="Calibri" w:hAnsi="Calibri"/>
        </w:rPr>
        <w:t xml:space="preserve"> </w:t>
      </w:r>
      <w:r w:rsidR="00FF5285" w:rsidRPr="0093655C">
        <w:rPr>
          <w:rFonts w:ascii="Calibri" w:hAnsi="Calibri"/>
        </w:rPr>
        <w:t>may contain “convenience” subobject and fund detail codes (see Table 1</w:t>
      </w:r>
      <w:r w:rsidR="00CB5539">
        <w:rPr>
          <w:rFonts w:ascii="Calibri" w:hAnsi="Calibri"/>
        </w:rPr>
        <w:t xml:space="preserve"> below</w:t>
      </w:r>
      <w:r w:rsidR="00FF5285" w:rsidRPr="0093655C">
        <w:rPr>
          <w:rFonts w:ascii="Calibri" w:hAnsi="Calibri"/>
        </w:rPr>
        <w:t xml:space="preserve">). </w:t>
      </w:r>
      <w:r w:rsidRPr="0093655C">
        <w:rPr>
          <w:rFonts w:ascii="Calibri" w:hAnsi="Calibri"/>
        </w:rPr>
        <w:t xml:space="preserve"> </w:t>
      </w:r>
      <w:r w:rsidR="00FF5285" w:rsidRPr="0093655C">
        <w:rPr>
          <w:rFonts w:ascii="Calibri" w:hAnsi="Calibri"/>
        </w:rPr>
        <w:t xml:space="preserve">Because of the need to know what agencies plan to purchase and because expense vouchers to be processed through CARS must be coded using valid expenditure subobject codes, </w:t>
      </w:r>
      <w:r w:rsidR="00D95C50" w:rsidRPr="0093655C">
        <w:rPr>
          <w:rFonts w:ascii="Calibri" w:hAnsi="Calibri"/>
        </w:rPr>
        <w:t>thes</w:t>
      </w:r>
      <w:r w:rsidR="00FF5285" w:rsidRPr="0093655C">
        <w:rPr>
          <w:rFonts w:ascii="Calibri" w:hAnsi="Calibri"/>
        </w:rPr>
        <w:t>e convenience codes</w:t>
      </w:r>
      <w:r w:rsidR="00D95C50" w:rsidRPr="0093655C">
        <w:rPr>
          <w:rFonts w:ascii="Calibri" w:hAnsi="Calibri"/>
        </w:rPr>
        <w:t xml:space="preserve"> must be replaced with valid objects of expenditures and fund details</w:t>
      </w:r>
      <w:r w:rsidR="00FF5285" w:rsidRPr="0093655C">
        <w:rPr>
          <w:rFonts w:ascii="Calibri" w:hAnsi="Calibri"/>
        </w:rPr>
        <w:t>.</w:t>
      </w:r>
      <w:r w:rsidR="00D95C50" w:rsidRPr="0093655C">
        <w:rPr>
          <w:rFonts w:ascii="Calibri" w:hAnsi="Calibri"/>
        </w:rPr>
        <w:t xml:space="preserve">  </w:t>
      </w:r>
      <w:r w:rsidR="00FF5285" w:rsidRPr="0093655C">
        <w:rPr>
          <w:rFonts w:ascii="Calibri" w:hAnsi="Calibri"/>
        </w:rPr>
        <w:t xml:space="preserve">  </w:t>
      </w:r>
    </w:p>
    <w:p w:rsidR="005376DD" w:rsidRPr="0093655C" w:rsidRDefault="005376DD" w:rsidP="00526D92">
      <w:pPr>
        <w:pStyle w:val="BodyTextIndent"/>
        <w:tabs>
          <w:tab w:val="clear" w:pos="360"/>
        </w:tabs>
        <w:spacing w:after="0"/>
        <w:ind w:firstLine="90"/>
        <w:rPr>
          <w:rFonts w:ascii="Calibri" w:hAnsi="Calibri"/>
        </w:rPr>
      </w:pPr>
    </w:p>
    <w:p w:rsidR="00293E5B" w:rsidRDefault="00D95C50">
      <w:pPr>
        <w:pStyle w:val="BodyTextIndent"/>
        <w:tabs>
          <w:tab w:val="clear" w:pos="360"/>
        </w:tabs>
        <w:spacing w:after="0"/>
        <w:ind w:firstLine="0"/>
        <w:rPr>
          <w:rFonts w:ascii="Calibri" w:hAnsi="Calibri"/>
        </w:rPr>
      </w:pPr>
      <w:r w:rsidRPr="0093655C">
        <w:rPr>
          <w:rFonts w:ascii="Calibri" w:hAnsi="Calibri"/>
        </w:rPr>
        <w:t xml:space="preserve">If any convenience codes </w:t>
      </w:r>
      <w:r w:rsidR="00690CCA">
        <w:rPr>
          <w:rFonts w:ascii="Calibri" w:hAnsi="Calibri"/>
        </w:rPr>
        <w:t>exist in an agency’s budget</w:t>
      </w:r>
      <w:r w:rsidRPr="0093655C">
        <w:rPr>
          <w:rFonts w:ascii="Calibri" w:hAnsi="Calibri"/>
        </w:rPr>
        <w:t xml:space="preserve">, </w:t>
      </w:r>
      <w:r w:rsidR="00CB5539">
        <w:rPr>
          <w:rFonts w:ascii="Calibri" w:hAnsi="Calibri"/>
        </w:rPr>
        <w:t xml:space="preserve">it is suggested that </w:t>
      </w:r>
      <w:r w:rsidR="00FF5285" w:rsidRPr="0093655C">
        <w:rPr>
          <w:rFonts w:ascii="Calibri" w:hAnsi="Calibri"/>
        </w:rPr>
        <w:t>agencies submit a budget execution adjustment (adjustment type “</w:t>
      </w:r>
      <w:r w:rsidR="001153EB" w:rsidRPr="0093655C">
        <w:rPr>
          <w:rFonts w:ascii="Calibri" w:hAnsi="Calibri"/>
        </w:rPr>
        <w:t>M Adjustment to service areas and subobject codes</w:t>
      </w:r>
      <w:r w:rsidR="00CB5539">
        <w:rPr>
          <w:rFonts w:ascii="Calibri" w:hAnsi="Calibri"/>
        </w:rPr>
        <w:t>”</w:t>
      </w:r>
      <w:r w:rsidR="00FF5285" w:rsidRPr="0093655C">
        <w:rPr>
          <w:rFonts w:ascii="Calibri" w:hAnsi="Calibri"/>
        </w:rPr>
        <w:t xml:space="preserve">) </w:t>
      </w:r>
      <w:r w:rsidRPr="0093655C">
        <w:rPr>
          <w:rFonts w:ascii="Calibri" w:hAnsi="Calibri"/>
        </w:rPr>
        <w:t xml:space="preserve">by </w:t>
      </w:r>
      <w:r w:rsidR="00EF2E2B" w:rsidRPr="00DA4541">
        <w:rPr>
          <w:rFonts w:ascii="Calibri" w:hAnsi="Calibri"/>
          <w:b/>
        </w:rPr>
        <w:t xml:space="preserve">August </w:t>
      </w:r>
      <w:r w:rsidR="00B74EA5">
        <w:rPr>
          <w:rFonts w:ascii="Calibri" w:hAnsi="Calibri"/>
          <w:b/>
        </w:rPr>
        <w:t>15</w:t>
      </w:r>
      <w:r w:rsidRPr="00DA4541">
        <w:rPr>
          <w:rFonts w:ascii="Calibri" w:hAnsi="Calibri"/>
          <w:b/>
        </w:rPr>
        <w:t xml:space="preserve">, </w:t>
      </w:r>
      <w:r w:rsidR="00570627" w:rsidRPr="00DA4541">
        <w:rPr>
          <w:rFonts w:ascii="Calibri" w:hAnsi="Calibri"/>
          <w:b/>
        </w:rPr>
        <w:t>2014</w:t>
      </w:r>
      <w:r w:rsidRPr="0093655C">
        <w:rPr>
          <w:rFonts w:ascii="Calibri" w:hAnsi="Calibri"/>
        </w:rPr>
        <w:t xml:space="preserve">, </w:t>
      </w:r>
      <w:r w:rsidR="00FF5285" w:rsidRPr="0093655C">
        <w:rPr>
          <w:rFonts w:ascii="Calibri" w:hAnsi="Calibri"/>
        </w:rPr>
        <w:t xml:space="preserve">to convert any </w:t>
      </w:r>
      <w:r w:rsidR="005376DD" w:rsidRPr="0093655C">
        <w:rPr>
          <w:rFonts w:ascii="Calibri" w:hAnsi="Calibri"/>
        </w:rPr>
        <w:t xml:space="preserve">remaining </w:t>
      </w:r>
      <w:r w:rsidR="00FF5285" w:rsidRPr="0093655C">
        <w:rPr>
          <w:rFonts w:ascii="Calibri" w:hAnsi="Calibri"/>
        </w:rPr>
        <w:t xml:space="preserve">convenience subobject and fund </w:t>
      </w:r>
      <w:r w:rsidRPr="0093655C">
        <w:rPr>
          <w:rFonts w:ascii="Calibri" w:hAnsi="Calibri"/>
        </w:rPr>
        <w:t xml:space="preserve">detail </w:t>
      </w:r>
      <w:r w:rsidR="00FF5285" w:rsidRPr="0093655C">
        <w:rPr>
          <w:rFonts w:ascii="Calibri" w:hAnsi="Calibri"/>
        </w:rPr>
        <w:t>codes, other than the xx95 subobject codes, to regular subobject and fund codes.  It is optional to clear out the xx95 convenience codes (see Table 2</w:t>
      </w:r>
      <w:r w:rsidR="00CB5539">
        <w:rPr>
          <w:rFonts w:ascii="Calibri" w:hAnsi="Calibri"/>
        </w:rPr>
        <w:t xml:space="preserve"> below</w:t>
      </w:r>
      <w:r w:rsidR="00FF5285" w:rsidRPr="0093655C">
        <w:rPr>
          <w:rFonts w:ascii="Calibri" w:hAnsi="Calibri"/>
        </w:rPr>
        <w:t xml:space="preserve">) for undistributed nonpersonal services.  </w:t>
      </w:r>
    </w:p>
    <w:p w:rsidR="005376DD" w:rsidRPr="0093655C" w:rsidRDefault="005376DD" w:rsidP="00526D92">
      <w:pPr>
        <w:pStyle w:val="BodyTextIndent"/>
        <w:tabs>
          <w:tab w:val="clear" w:pos="360"/>
        </w:tabs>
        <w:spacing w:after="0"/>
        <w:ind w:firstLine="90"/>
        <w:rPr>
          <w:rFonts w:ascii="Calibri" w:hAnsi="Calibri"/>
        </w:rPr>
      </w:pPr>
    </w:p>
    <w:p w:rsidR="006D7A36" w:rsidRPr="005C3182" w:rsidRDefault="00CB5539" w:rsidP="006D7A36">
      <w:pPr>
        <w:spacing w:after="0"/>
        <w:ind w:left="0" w:right="720"/>
        <w:rPr>
          <w:rFonts w:ascii="Calibri" w:hAnsi="Calibri"/>
        </w:rPr>
      </w:pPr>
      <w:r>
        <w:rPr>
          <w:rFonts w:ascii="Calibri" w:hAnsi="Calibri"/>
          <w:b/>
        </w:rPr>
        <w:t>A</w:t>
      </w:r>
      <w:r w:rsidR="005376DD" w:rsidRPr="0093655C">
        <w:rPr>
          <w:rFonts w:ascii="Calibri" w:hAnsi="Calibri"/>
          <w:b/>
        </w:rPr>
        <w:t>gencies</w:t>
      </w:r>
      <w:r w:rsidR="005376DD" w:rsidRPr="0093655C">
        <w:rPr>
          <w:rFonts w:ascii="Calibri" w:hAnsi="Calibri"/>
          <w:b/>
          <w:bCs/>
        </w:rPr>
        <w:t xml:space="preserve"> </w:t>
      </w:r>
      <w:r>
        <w:rPr>
          <w:rFonts w:ascii="Calibri" w:hAnsi="Calibri"/>
          <w:b/>
          <w:bCs/>
        </w:rPr>
        <w:t>are instructed</w:t>
      </w:r>
      <w:r w:rsidRPr="0093655C">
        <w:rPr>
          <w:rFonts w:ascii="Calibri" w:hAnsi="Calibri"/>
          <w:b/>
          <w:bCs/>
        </w:rPr>
        <w:t xml:space="preserve"> </w:t>
      </w:r>
      <w:r w:rsidR="005376DD" w:rsidRPr="0093655C">
        <w:rPr>
          <w:rFonts w:ascii="Calibri" w:hAnsi="Calibri"/>
          <w:b/>
          <w:bCs/>
        </w:rPr>
        <w:t xml:space="preserve">not </w:t>
      </w:r>
      <w:r>
        <w:rPr>
          <w:rFonts w:ascii="Calibri" w:hAnsi="Calibri"/>
          <w:b/>
          <w:bCs/>
        </w:rPr>
        <w:t xml:space="preserve">to </w:t>
      </w:r>
      <w:r w:rsidR="005376DD" w:rsidRPr="0093655C">
        <w:rPr>
          <w:rFonts w:ascii="Calibri" w:hAnsi="Calibri"/>
          <w:b/>
          <w:bCs/>
        </w:rPr>
        <w:t xml:space="preserve">use convenience codes (including the xx95 convenience codes) to appropriate or adjust funds during the fiscal year in the </w:t>
      </w:r>
      <w:r w:rsidR="00FF15DD" w:rsidRPr="0093655C">
        <w:rPr>
          <w:rFonts w:ascii="Calibri" w:hAnsi="Calibri"/>
          <w:b/>
          <w:bCs/>
        </w:rPr>
        <w:t xml:space="preserve">PB </w:t>
      </w:r>
      <w:r w:rsidR="005376DD" w:rsidRPr="0093655C">
        <w:rPr>
          <w:rFonts w:ascii="Calibri" w:hAnsi="Calibri"/>
          <w:b/>
          <w:bCs/>
        </w:rPr>
        <w:t xml:space="preserve">system.  </w:t>
      </w:r>
    </w:p>
    <w:p w:rsidR="005376DD" w:rsidRPr="0093655C" w:rsidRDefault="005376DD" w:rsidP="00DA4541">
      <w:pPr>
        <w:pStyle w:val="BodyTextIndent"/>
        <w:tabs>
          <w:tab w:val="clear" w:pos="360"/>
        </w:tabs>
        <w:spacing w:after="0"/>
        <w:ind w:firstLine="0"/>
        <w:rPr>
          <w:rFonts w:ascii="Calibri" w:hAnsi="Calibri"/>
          <w:b/>
          <w:bCs/>
        </w:rPr>
      </w:pPr>
    </w:p>
    <w:p w:rsidR="005376DD" w:rsidRPr="0093655C" w:rsidRDefault="005376DD" w:rsidP="005376DD">
      <w:pPr>
        <w:pStyle w:val="BodyTextIndent"/>
        <w:spacing w:after="0"/>
        <w:rPr>
          <w:rFonts w:ascii="Calibri" w:hAnsi="Calibri"/>
        </w:rPr>
      </w:pPr>
    </w:p>
    <w:p w:rsidR="00FF5285" w:rsidRPr="0093655C" w:rsidRDefault="00FF5285" w:rsidP="00FF5285">
      <w:pPr>
        <w:pStyle w:val="BodyTextIndent"/>
        <w:tabs>
          <w:tab w:val="clear" w:pos="360"/>
          <w:tab w:val="left" w:pos="720"/>
        </w:tabs>
        <w:ind w:left="1620" w:hanging="900"/>
        <w:rPr>
          <w:rFonts w:ascii="Calibri" w:hAnsi="Calibri"/>
          <w:b/>
          <w:bCs/>
          <w:i/>
          <w:iCs/>
        </w:rPr>
      </w:pPr>
      <w:r w:rsidRPr="0093655C">
        <w:rPr>
          <w:rFonts w:ascii="Calibri" w:hAnsi="Calibri"/>
          <w:b/>
          <w:bCs/>
          <w:i/>
          <w:iCs/>
        </w:rPr>
        <w:t xml:space="preserve">Table 1: Convenience codes </w:t>
      </w:r>
      <w:r w:rsidR="005376DD" w:rsidRPr="0093655C">
        <w:rPr>
          <w:rFonts w:ascii="Calibri" w:hAnsi="Calibri"/>
          <w:b/>
          <w:bCs/>
          <w:i/>
          <w:iCs/>
        </w:rPr>
        <w:t xml:space="preserve">that </w:t>
      </w:r>
      <w:r w:rsidR="00CB5539">
        <w:rPr>
          <w:rFonts w:ascii="Calibri" w:hAnsi="Calibri"/>
          <w:b/>
          <w:bCs/>
          <w:i/>
          <w:iCs/>
        </w:rPr>
        <w:t>should</w:t>
      </w:r>
      <w:r w:rsidR="00CB5539" w:rsidRPr="0093655C">
        <w:rPr>
          <w:rFonts w:ascii="Calibri" w:hAnsi="Calibri"/>
          <w:b/>
          <w:bCs/>
          <w:i/>
          <w:iCs/>
        </w:rPr>
        <w:t xml:space="preserve"> </w:t>
      </w:r>
      <w:r w:rsidRPr="0093655C">
        <w:rPr>
          <w:rFonts w:ascii="Calibri" w:hAnsi="Calibri"/>
          <w:b/>
          <w:bCs/>
          <w:i/>
          <w:iCs/>
        </w:rPr>
        <w:t xml:space="preserve">be removed by </w:t>
      </w:r>
      <w:r w:rsidR="00EF2E2B" w:rsidRPr="0093655C">
        <w:rPr>
          <w:rFonts w:ascii="Calibri" w:hAnsi="Calibri"/>
          <w:b/>
          <w:bCs/>
          <w:i/>
          <w:iCs/>
        </w:rPr>
        <w:t xml:space="preserve">August </w:t>
      </w:r>
      <w:r w:rsidR="00B74EA5">
        <w:rPr>
          <w:rFonts w:ascii="Calibri" w:hAnsi="Calibri"/>
          <w:b/>
          <w:bCs/>
          <w:i/>
          <w:iCs/>
        </w:rPr>
        <w:t>15</w:t>
      </w:r>
      <w:r w:rsidRPr="0093655C">
        <w:rPr>
          <w:rFonts w:ascii="Calibri" w:hAnsi="Calibri"/>
          <w:b/>
          <w:bCs/>
          <w:i/>
          <w:iCs/>
        </w:rPr>
        <w:t xml:space="preserve">, </w:t>
      </w:r>
      <w:r w:rsidR="00570627">
        <w:rPr>
          <w:rFonts w:ascii="Calibri" w:hAnsi="Calibri"/>
          <w:b/>
          <w:bCs/>
          <w:i/>
          <w:iCs/>
        </w:rPr>
        <w:t>2014</w:t>
      </w:r>
      <w:r w:rsidRPr="0093655C">
        <w:rPr>
          <w:rFonts w:ascii="Calibri" w:hAnsi="Calibri"/>
          <w:b/>
          <w:bCs/>
          <w:i/>
          <w:iCs/>
        </w:rPr>
        <w:t>, by distributing the amounts to valid expenditure subobject codes: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7020"/>
      </w:tblGrid>
      <w:tr w:rsidR="00FF5285" w:rsidRPr="0093655C" w:rsidTr="00FF5285">
        <w:tc>
          <w:tcPr>
            <w:tcW w:w="8190" w:type="dxa"/>
            <w:gridSpan w:val="2"/>
            <w:vAlign w:val="center"/>
          </w:tcPr>
          <w:p w:rsidR="00FF5285" w:rsidRPr="0093655C" w:rsidRDefault="00FF5285" w:rsidP="00FF5285">
            <w:pPr>
              <w:tabs>
                <w:tab w:val="clear" w:pos="360"/>
              </w:tabs>
              <w:spacing w:after="0" w:line="240" w:lineRule="atLeast"/>
              <w:ind w:left="0"/>
              <w:rPr>
                <w:rFonts w:ascii="Calibri" w:hAnsi="Calibri"/>
                <w:b/>
                <w:sz w:val="26"/>
                <w:szCs w:val="26"/>
              </w:rPr>
            </w:pPr>
            <w:r w:rsidRPr="0093655C">
              <w:rPr>
                <w:rFonts w:ascii="Calibri" w:hAnsi="Calibri"/>
                <w:b/>
                <w:sz w:val="26"/>
                <w:szCs w:val="26"/>
              </w:rPr>
              <w:t>Subobject Codes</w:t>
            </w:r>
          </w:p>
        </w:tc>
      </w:tr>
      <w:tr w:rsidR="00FF5285" w:rsidRPr="0093655C" w:rsidTr="00FF5285">
        <w:tc>
          <w:tcPr>
            <w:tcW w:w="1170" w:type="dxa"/>
            <w:vAlign w:val="center"/>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1184</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FTE Undistributed Amended Legislative Appropriation</w:t>
            </w:r>
          </w:p>
        </w:tc>
      </w:tr>
      <w:tr w:rsidR="00FF5285" w:rsidRPr="0093655C" w:rsidTr="00FF5285">
        <w:tc>
          <w:tcPr>
            <w:tcW w:w="1170" w:type="dxa"/>
            <w:vAlign w:val="center"/>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1185</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FTE, Undistributed:  Legislative Appropriation</w:t>
            </w:r>
          </w:p>
        </w:tc>
      </w:tr>
      <w:tr w:rsidR="00FF5285" w:rsidRPr="0093655C" w:rsidTr="00FF5285">
        <w:tc>
          <w:tcPr>
            <w:tcW w:w="1170" w:type="dxa"/>
            <w:vAlign w:val="center"/>
          </w:tcPr>
          <w:p w:rsidR="00FF5285" w:rsidRPr="0093655C" w:rsidRDefault="00FF5285" w:rsidP="00FF5285">
            <w:pPr>
              <w:pStyle w:val="Header"/>
              <w:tabs>
                <w:tab w:val="clear" w:pos="4320"/>
                <w:tab w:val="clear" w:pos="8640"/>
              </w:tabs>
              <w:spacing w:after="0" w:line="240" w:lineRule="atLeast"/>
              <w:ind w:left="0"/>
              <w:jc w:val="center"/>
              <w:rPr>
                <w:rFonts w:ascii="Calibri" w:hAnsi="Calibri"/>
              </w:rPr>
            </w:pPr>
            <w:r w:rsidRPr="0093655C">
              <w:rPr>
                <w:rFonts w:ascii="Calibri" w:hAnsi="Calibri"/>
              </w:rPr>
              <w:t>4100</w:t>
            </w:r>
          </w:p>
        </w:tc>
        <w:tc>
          <w:tcPr>
            <w:tcW w:w="7020" w:type="dxa"/>
          </w:tcPr>
          <w:p w:rsidR="00FF5285" w:rsidRPr="0093655C" w:rsidRDefault="00FF5285" w:rsidP="00FF5285">
            <w:pPr>
              <w:pStyle w:val="Header"/>
              <w:tabs>
                <w:tab w:val="clear" w:pos="4320"/>
                <w:tab w:val="clear" w:pos="8640"/>
              </w:tabs>
              <w:spacing w:after="0" w:line="240" w:lineRule="atLeast"/>
              <w:ind w:left="0"/>
              <w:rPr>
                <w:rFonts w:ascii="Calibri" w:hAnsi="Calibri"/>
              </w:rPr>
            </w:pPr>
            <w:r w:rsidRPr="0093655C">
              <w:rPr>
                <w:rFonts w:ascii="Calibri" w:hAnsi="Calibri"/>
              </w:rPr>
              <w:t xml:space="preserve">Undistributed </w:t>
            </w:r>
            <w:smartTag w:uri="urn:schemas-microsoft-com:office:smarttags" w:element="PersonName">
              <w:r w:rsidRPr="0093655C">
                <w:rPr>
                  <w:rFonts w:ascii="Calibri" w:hAnsi="Calibri"/>
                </w:rPr>
                <w:t>Budget</w:t>
              </w:r>
            </w:smartTag>
            <w:r w:rsidRPr="0093655C">
              <w:rPr>
                <w:rFonts w:ascii="Calibri" w:hAnsi="Calibri"/>
              </w:rPr>
              <w:t xml:space="preserve"> Amounts</w:t>
            </w:r>
          </w:p>
        </w:tc>
      </w:tr>
      <w:tr w:rsidR="00FF5285" w:rsidRPr="0093655C" w:rsidTr="00FF5285">
        <w:tc>
          <w:tcPr>
            <w:tcW w:w="1170" w:type="dxa"/>
            <w:vAlign w:val="center"/>
          </w:tcPr>
          <w:p w:rsidR="00FF5285" w:rsidRPr="0093655C" w:rsidRDefault="00FF5285" w:rsidP="00FF5285">
            <w:pPr>
              <w:pStyle w:val="Header"/>
              <w:tabs>
                <w:tab w:val="clear" w:pos="4320"/>
                <w:tab w:val="clear" w:pos="8640"/>
              </w:tabs>
              <w:spacing w:after="0" w:line="240" w:lineRule="atLeast"/>
              <w:ind w:left="0"/>
              <w:jc w:val="center"/>
              <w:rPr>
                <w:rFonts w:ascii="Calibri" w:hAnsi="Calibri"/>
              </w:rPr>
            </w:pPr>
            <w:r w:rsidRPr="0093655C">
              <w:rPr>
                <w:rFonts w:ascii="Calibri" w:hAnsi="Calibri"/>
              </w:rPr>
              <w:t>5100</w:t>
            </w:r>
          </w:p>
        </w:tc>
        <w:tc>
          <w:tcPr>
            <w:tcW w:w="7020" w:type="dxa"/>
          </w:tcPr>
          <w:p w:rsidR="00FF5285" w:rsidRPr="0093655C" w:rsidRDefault="00FF5285" w:rsidP="00FF5285">
            <w:pPr>
              <w:pStyle w:val="Header"/>
              <w:tabs>
                <w:tab w:val="clear" w:pos="4320"/>
                <w:tab w:val="clear" w:pos="8640"/>
              </w:tabs>
              <w:spacing w:after="0" w:line="240" w:lineRule="atLeast"/>
              <w:ind w:left="0"/>
              <w:rPr>
                <w:rFonts w:ascii="Calibri" w:hAnsi="Calibri"/>
              </w:rPr>
            </w:pPr>
            <w:r w:rsidRPr="0093655C">
              <w:rPr>
                <w:rFonts w:ascii="Calibri" w:hAnsi="Calibri"/>
              </w:rPr>
              <w:t>Undistributed Savings Amount</w:t>
            </w:r>
          </w:p>
        </w:tc>
      </w:tr>
      <w:tr w:rsidR="00FF5285" w:rsidRPr="0093655C" w:rsidTr="00FF5285">
        <w:tc>
          <w:tcPr>
            <w:tcW w:w="1170" w:type="dxa"/>
            <w:vAlign w:val="center"/>
          </w:tcPr>
          <w:p w:rsidR="00FF5285" w:rsidRPr="0093655C" w:rsidRDefault="00FF5285" w:rsidP="00FF5285">
            <w:pPr>
              <w:pStyle w:val="Header"/>
              <w:tabs>
                <w:tab w:val="clear" w:pos="4320"/>
                <w:tab w:val="clear" w:pos="8640"/>
              </w:tabs>
              <w:spacing w:after="0" w:line="240" w:lineRule="atLeast"/>
              <w:ind w:left="0"/>
              <w:jc w:val="center"/>
              <w:rPr>
                <w:rFonts w:ascii="Calibri" w:hAnsi="Calibri"/>
              </w:rPr>
            </w:pPr>
            <w:r w:rsidRPr="0093655C">
              <w:rPr>
                <w:rFonts w:ascii="Calibri" w:hAnsi="Calibri"/>
              </w:rPr>
              <w:t>6100</w:t>
            </w:r>
          </w:p>
        </w:tc>
        <w:tc>
          <w:tcPr>
            <w:tcW w:w="7020" w:type="dxa"/>
          </w:tcPr>
          <w:p w:rsidR="00FF5285" w:rsidRPr="0093655C" w:rsidRDefault="00FF5285" w:rsidP="00FF5285">
            <w:pPr>
              <w:pStyle w:val="Header"/>
              <w:tabs>
                <w:tab w:val="clear" w:pos="4320"/>
                <w:tab w:val="clear" w:pos="8640"/>
              </w:tabs>
              <w:spacing w:after="0" w:line="240" w:lineRule="atLeast"/>
              <w:ind w:left="0"/>
              <w:rPr>
                <w:rFonts w:ascii="Calibri" w:hAnsi="Calibri"/>
              </w:rPr>
            </w:pPr>
            <w:r w:rsidRPr="0093655C">
              <w:rPr>
                <w:rFonts w:ascii="Calibri" w:hAnsi="Calibri"/>
              </w:rPr>
              <w:t xml:space="preserve">Undistributed Biennial </w:t>
            </w:r>
            <w:smartTag w:uri="urn:schemas-microsoft-com:office:smarttags" w:element="PersonName">
              <w:r w:rsidRPr="0093655C">
                <w:rPr>
                  <w:rFonts w:ascii="Calibri" w:hAnsi="Calibri"/>
                </w:rPr>
                <w:t>Budget</w:t>
              </w:r>
            </w:smartTag>
            <w:r w:rsidRPr="0093655C">
              <w:rPr>
                <w:rFonts w:ascii="Calibri" w:hAnsi="Calibri"/>
              </w:rPr>
              <w:t xml:space="preserve"> Amounts</w:t>
            </w:r>
          </w:p>
        </w:tc>
      </w:tr>
      <w:tr w:rsidR="00FF5285" w:rsidRPr="0093655C" w:rsidTr="00FF5285">
        <w:tc>
          <w:tcPr>
            <w:tcW w:w="1170" w:type="dxa"/>
            <w:vAlign w:val="center"/>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6200</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Undistributed Nonpersonal Services Across-the-Board Reductions</w:t>
            </w:r>
          </w:p>
        </w:tc>
      </w:tr>
      <w:tr w:rsidR="00FF5285" w:rsidRPr="0093655C" w:rsidTr="00FF5285">
        <w:tc>
          <w:tcPr>
            <w:tcW w:w="1170" w:type="dxa"/>
            <w:vAlign w:val="center"/>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7100</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 xml:space="preserve">Undistributed Amended </w:t>
            </w:r>
            <w:smartTag w:uri="urn:schemas-microsoft-com:office:smarttags" w:element="PersonName">
              <w:r w:rsidRPr="0093655C">
                <w:rPr>
                  <w:rFonts w:ascii="Calibri" w:hAnsi="Calibri"/>
                </w:rPr>
                <w:t>Budget</w:t>
              </w:r>
            </w:smartTag>
            <w:r w:rsidRPr="0093655C">
              <w:rPr>
                <w:rFonts w:ascii="Calibri" w:hAnsi="Calibri"/>
              </w:rPr>
              <w:t xml:space="preserve"> Amounts</w:t>
            </w:r>
          </w:p>
        </w:tc>
      </w:tr>
      <w:tr w:rsidR="00FF5285" w:rsidRPr="0093655C" w:rsidTr="00FF5285">
        <w:tc>
          <w:tcPr>
            <w:tcW w:w="1170" w:type="dxa"/>
            <w:vAlign w:val="center"/>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8600</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Undistributed Legislative Appropriation</w:t>
            </w:r>
          </w:p>
        </w:tc>
      </w:tr>
      <w:tr w:rsidR="00FF5285" w:rsidRPr="0093655C" w:rsidTr="00FF5285">
        <w:tc>
          <w:tcPr>
            <w:tcW w:w="1170" w:type="dxa"/>
            <w:vAlign w:val="center"/>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8900</w:t>
            </w:r>
          </w:p>
        </w:tc>
        <w:tc>
          <w:tcPr>
            <w:tcW w:w="7020" w:type="dxa"/>
          </w:tcPr>
          <w:p w:rsidR="00FF5285" w:rsidRPr="0093655C" w:rsidRDefault="00FF15DD" w:rsidP="00EA0521">
            <w:pPr>
              <w:tabs>
                <w:tab w:val="clear" w:pos="360"/>
              </w:tabs>
              <w:spacing w:after="0" w:line="240" w:lineRule="atLeast"/>
              <w:ind w:left="0"/>
              <w:rPr>
                <w:rFonts w:ascii="Calibri" w:hAnsi="Calibri"/>
              </w:rPr>
            </w:pPr>
            <w:r w:rsidRPr="0093655C">
              <w:rPr>
                <w:rFonts w:ascii="Calibri" w:hAnsi="Calibri"/>
              </w:rPr>
              <w:t>PB</w:t>
            </w:r>
            <w:r w:rsidR="00FF5285" w:rsidRPr="0093655C">
              <w:rPr>
                <w:rFonts w:ascii="Calibri" w:hAnsi="Calibri"/>
              </w:rPr>
              <w:t xml:space="preserve"> system Redistribution Code</w:t>
            </w:r>
          </w:p>
        </w:tc>
      </w:tr>
      <w:tr w:rsidR="00FF5285" w:rsidRPr="0093655C" w:rsidTr="00FF5285">
        <w:tc>
          <w:tcPr>
            <w:tcW w:w="1170" w:type="dxa"/>
            <w:vAlign w:val="center"/>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9000</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Undistributed Amended Appropriations</w:t>
            </w:r>
          </w:p>
        </w:tc>
      </w:tr>
      <w:tr w:rsidR="00FF5285" w:rsidRPr="0093655C" w:rsidTr="00FF5285">
        <w:tc>
          <w:tcPr>
            <w:tcW w:w="8190" w:type="dxa"/>
            <w:gridSpan w:val="2"/>
            <w:vAlign w:val="center"/>
          </w:tcPr>
          <w:p w:rsidR="00FF5285" w:rsidRPr="0093655C" w:rsidRDefault="00FF5285" w:rsidP="00FF5285">
            <w:pPr>
              <w:tabs>
                <w:tab w:val="clear" w:pos="360"/>
              </w:tabs>
              <w:spacing w:after="0" w:line="240" w:lineRule="atLeast"/>
              <w:ind w:left="0"/>
              <w:rPr>
                <w:rFonts w:ascii="Calibri" w:hAnsi="Calibri"/>
                <w:b/>
                <w:sz w:val="26"/>
                <w:szCs w:val="26"/>
              </w:rPr>
            </w:pPr>
            <w:r w:rsidRPr="0093655C">
              <w:rPr>
                <w:rFonts w:ascii="Calibri" w:hAnsi="Calibri"/>
                <w:b/>
                <w:sz w:val="26"/>
                <w:szCs w:val="26"/>
              </w:rPr>
              <w:t>Fund Detail Codes</w:t>
            </w:r>
          </w:p>
        </w:tc>
      </w:tr>
      <w:tr w:rsidR="00FF5285" w:rsidRPr="0093655C" w:rsidTr="00FF5285">
        <w:tc>
          <w:tcPr>
            <w:tcW w:w="1170" w:type="dxa"/>
            <w:vAlign w:val="center"/>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lastRenderedPageBreak/>
              <w:t>1200</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FTE, Undistributed Legislative Amount</w:t>
            </w:r>
          </w:p>
        </w:tc>
      </w:tr>
      <w:tr w:rsidR="00FF5285" w:rsidRPr="0093655C" w:rsidTr="00FF5285">
        <w:tc>
          <w:tcPr>
            <w:tcW w:w="1170" w:type="dxa"/>
            <w:vAlign w:val="center"/>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1300</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FTE, Undistributed Amended Legislative Amount</w:t>
            </w:r>
          </w:p>
        </w:tc>
      </w:tr>
    </w:tbl>
    <w:p w:rsidR="00FF5285" w:rsidRPr="0093655C" w:rsidRDefault="00FF5285" w:rsidP="00FF5285">
      <w:pPr>
        <w:tabs>
          <w:tab w:val="clear" w:pos="360"/>
        </w:tabs>
        <w:spacing w:after="0" w:line="240" w:lineRule="atLeast"/>
        <w:ind w:left="0"/>
        <w:jc w:val="center"/>
        <w:rPr>
          <w:rFonts w:ascii="Calibri" w:hAnsi="Calibri"/>
        </w:rPr>
      </w:pPr>
    </w:p>
    <w:p w:rsidR="00FF5285" w:rsidRPr="0093655C" w:rsidRDefault="00FF5285" w:rsidP="00B10455">
      <w:pPr>
        <w:tabs>
          <w:tab w:val="clear" w:pos="360"/>
          <w:tab w:val="left" w:pos="630"/>
          <w:tab w:val="left" w:pos="720"/>
          <w:tab w:val="left" w:pos="1320"/>
        </w:tabs>
        <w:spacing w:line="240" w:lineRule="atLeast"/>
        <w:ind w:left="720"/>
        <w:rPr>
          <w:rFonts w:ascii="Calibri" w:hAnsi="Calibri"/>
          <w:b/>
          <w:bCs/>
          <w:i/>
        </w:rPr>
      </w:pPr>
      <w:r w:rsidRPr="0093655C">
        <w:rPr>
          <w:rFonts w:ascii="Calibri" w:hAnsi="Calibri"/>
          <w:b/>
          <w:bCs/>
          <w:i/>
        </w:rPr>
        <w:t xml:space="preserve">Table 2: Convenience codes that do </w:t>
      </w:r>
      <w:r w:rsidRPr="0093655C">
        <w:rPr>
          <w:rFonts w:ascii="Calibri" w:hAnsi="Calibri"/>
          <w:b/>
          <w:bCs/>
          <w:i/>
          <w:u w:val="words"/>
        </w:rPr>
        <w:t>not</w:t>
      </w:r>
      <w:r w:rsidRPr="0093655C">
        <w:rPr>
          <w:rFonts w:ascii="Calibri" w:hAnsi="Calibri"/>
          <w:b/>
          <w:bCs/>
          <w:i/>
        </w:rPr>
        <w:t xml:space="preserve"> need to be cleared out: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7020"/>
      </w:tblGrid>
      <w:tr w:rsidR="00FF5285" w:rsidRPr="0093655C" w:rsidTr="00FF5285">
        <w:tc>
          <w:tcPr>
            <w:tcW w:w="1170" w:type="dxa"/>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1295</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Undistributed Contractual Services</w:t>
            </w:r>
          </w:p>
        </w:tc>
      </w:tr>
      <w:tr w:rsidR="00FF5285" w:rsidRPr="0093655C" w:rsidTr="00FF5285">
        <w:tc>
          <w:tcPr>
            <w:tcW w:w="1170" w:type="dxa"/>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1395</w:t>
            </w:r>
          </w:p>
        </w:tc>
        <w:tc>
          <w:tcPr>
            <w:tcW w:w="7020" w:type="dxa"/>
          </w:tcPr>
          <w:p w:rsidR="00FF5285" w:rsidRPr="0093655C" w:rsidRDefault="00FF5285" w:rsidP="00FF5285">
            <w:pPr>
              <w:pStyle w:val="Header"/>
              <w:tabs>
                <w:tab w:val="clear" w:pos="4320"/>
                <w:tab w:val="clear" w:pos="8640"/>
              </w:tabs>
              <w:spacing w:after="0" w:line="240" w:lineRule="atLeast"/>
              <w:ind w:left="0"/>
              <w:rPr>
                <w:rFonts w:ascii="Calibri" w:hAnsi="Calibri"/>
              </w:rPr>
            </w:pPr>
            <w:r w:rsidRPr="0093655C">
              <w:rPr>
                <w:rFonts w:ascii="Calibri" w:hAnsi="Calibri"/>
              </w:rPr>
              <w:t>Undistributed Supplies and Materials</w:t>
            </w:r>
          </w:p>
        </w:tc>
      </w:tr>
      <w:tr w:rsidR="00FF5285" w:rsidRPr="0093655C" w:rsidTr="00FF5285">
        <w:tc>
          <w:tcPr>
            <w:tcW w:w="1170" w:type="dxa"/>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1495</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Undistributed Transfer Payments</w:t>
            </w:r>
          </w:p>
        </w:tc>
      </w:tr>
      <w:tr w:rsidR="00FF5285" w:rsidRPr="0093655C" w:rsidTr="00FF5285">
        <w:tc>
          <w:tcPr>
            <w:tcW w:w="1170" w:type="dxa"/>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1595</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Undistributed Continuous Charges</w:t>
            </w:r>
          </w:p>
        </w:tc>
      </w:tr>
      <w:tr w:rsidR="00FF5285" w:rsidRPr="0093655C" w:rsidTr="00FF5285">
        <w:tc>
          <w:tcPr>
            <w:tcW w:w="1170" w:type="dxa"/>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2195</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Undistributed Property and Improvements</w:t>
            </w:r>
          </w:p>
        </w:tc>
      </w:tr>
      <w:tr w:rsidR="00FF5285" w:rsidRPr="0093655C" w:rsidTr="00FF5285">
        <w:tc>
          <w:tcPr>
            <w:tcW w:w="1170" w:type="dxa"/>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2295</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Undistributed Equipment</w:t>
            </w:r>
          </w:p>
        </w:tc>
      </w:tr>
      <w:tr w:rsidR="00FF5285" w:rsidRPr="0093655C" w:rsidTr="00FF5285">
        <w:tc>
          <w:tcPr>
            <w:tcW w:w="1170" w:type="dxa"/>
          </w:tcPr>
          <w:p w:rsidR="00FF5285" w:rsidRPr="0093655C" w:rsidRDefault="00FF5285" w:rsidP="00FF5285">
            <w:pPr>
              <w:tabs>
                <w:tab w:val="clear" w:pos="360"/>
              </w:tabs>
              <w:spacing w:after="0" w:line="240" w:lineRule="atLeast"/>
              <w:ind w:left="0"/>
              <w:jc w:val="center"/>
              <w:rPr>
                <w:rFonts w:ascii="Calibri" w:hAnsi="Calibri"/>
              </w:rPr>
            </w:pPr>
            <w:r w:rsidRPr="0093655C">
              <w:rPr>
                <w:rFonts w:ascii="Calibri" w:hAnsi="Calibri"/>
              </w:rPr>
              <w:t>2395</w:t>
            </w:r>
          </w:p>
        </w:tc>
        <w:tc>
          <w:tcPr>
            <w:tcW w:w="7020" w:type="dxa"/>
          </w:tcPr>
          <w:p w:rsidR="00FF5285" w:rsidRPr="0093655C" w:rsidRDefault="00FF5285" w:rsidP="00FF5285">
            <w:pPr>
              <w:tabs>
                <w:tab w:val="clear" w:pos="360"/>
              </w:tabs>
              <w:spacing w:after="0" w:line="240" w:lineRule="atLeast"/>
              <w:ind w:left="0"/>
              <w:rPr>
                <w:rFonts w:ascii="Calibri" w:hAnsi="Calibri"/>
              </w:rPr>
            </w:pPr>
            <w:r w:rsidRPr="0093655C">
              <w:rPr>
                <w:rFonts w:ascii="Calibri" w:hAnsi="Calibri"/>
              </w:rPr>
              <w:t>Undistributed Obligations</w:t>
            </w:r>
          </w:p>
        </w:tc>
      </w:tr>
    </w:tbl>
    <w:p w:rsidR="00FF5285" w:rsidRPr="0093655C" w:rsidRDefault="00FF5285" w:rsidP="00FF5285">
      <w:pPr>
        <w:tabs>
          <w:tab w:val="clear" w:pos="360"/>
          <w:tab w:val="left" w:pos="540"/>
          <w:tab w:val="left" w:pos="990"/>
          <w:tab w:val="left" w:pos="1320"/>
        </w:tabs>
        <w:spacing w:line="240" w:lineRule="atLeast"/>
        <w:ind w:left="0"/>
        <w:rPr>
          <w:rFonts w:ascii="Calibri" w:hAnsi="Calibri"/>
        </w:rPr>
      </w:pPr>
    </w:p>
    <w:p w:rsidR="00FF5285" w:rsidRDefault="00FF5285" w:rsidP="00570627">
      <w:pPr>
        <w:tabs>
          <w:tab w:val="clear" w:pos="360"/>
        </w:tabs>
        <w:spacing w:after="0"/>
        <w:ind w:left="0" w:right="720"/>
        <w:rPr>
          <w:rFonts w:ascii="Calibri" w:hAnsi="Calibri"/>
        </w:rPr>
      </w:pPr>
      <w:r w:rsidRPr="0093655C">
        <w:rPr>
          <w:rFonts w:ascii="Calibri" w:hAnsi="Calibri"/>
        </w:rPr>
        <w:t xml:space="preserve">For descriptions of these convenience codes, refer to the complete list of </w:t>
      </w:r>
      <w:r w:rsidR="00CB5539">
        <w:rPr>
          <w:rFonts w:ascii="Calibri" w:hAnsi="Calibri"/>
        </w:rPr>
        <w:t>subobject and fund</w:t>
      </w:r>
      <w:r w:rsidR="00CB5539" w:rsidRPr="0093655C">
        <w:rPr>
          <w:rFonts w:ascii="Calibri" w:hAnsi="Calibri"/>
        </w:rPr>
        <w:t xml:space="preserve"> </w:t>
      </w:r>
      <w:r w:rsidRPr="0093655C">
        <w:rPr>
          <w:rFonts w:ascii="Calibri" w:hAnsi="Calibri"/>
        </w:rPr>
        <w:t xml:space="preserve">codes </w:t>
      </w:r>
      <w:r w:rsidR="00CB5539">
        <w:rPr>
          <w:rFonts w:ascii="Calibri" w:hAnsi="Calibri"/>
        </w:rPr>
        <w:t>available in PB “</w:t>
      </w:r>
      <w:r w:rsidR="0064506D" w:rsidRPr="0093655C">
        <w:rPr>
          <w:rFonts w:ascii="Calibri" w:hAnsi="Calibri"/>
        </w:rPr>
        <w:t>chart of account</w:t>
      </w:r>
      <w:r w:rsidR="00CB5539">
        <w:rPr>
          <w:rFonts w:ascii="Calibri" w:hAnsi="Calibri"/>
        </w:rPr>
        <w:t>s”</w:t>
      </w:r>
      <w:r w:rsidR="0064506D" w:rsidRPr="0093655C">
        <w:rPr>
          <w:rFonts w:ascii="Calibri" w:hAnsi="Calibri"/>
        </w:rPr>
        <w:t xml:space="preserve"> reports</w:t>
      </w:r>
      <w:r w:rsidR="00CB5539">
        <w:rPr>
          <w:rFonts w:ascii="Calibri" w:hAnsi="Calibri"/>
        </w:rPr>
        <w:t xml:space="preserve">, available from the </w:t>
      </w:r>
      <w:r w:rsidR="00CB5539" w:rsidRPr="0093655C">
        <w:rPr>
          <w:rFonts w:ascii="Calibri" w:hAnsi="Calibri"/>
        </w:rPr>
        <w:t>in PB system</w:t>
      </w:r>
      <w:r w:rsidR="00CB5539">
        <w:rPr>
          <w:rFonts w:ascii="Calibri" w:hAnsi="Calibri"/>
        </w:rPr>
        <w:t xml:space="preserve"> reports subsystem and at the Chart of Accounts tab on the </w:t>
      </w:r>
      <w:r w:rsidR="006D7A36">
        <w:rPr>
          <w:rFonts w:ascii="Calibri" w:hAnsi="Calibri"/>
        </w:rPr>
        <w:t>“</w:t>
      </w:r>
      <w:r w:rsidR="00CB5539">
        <w:rPr>
          <w:rFonts w:ascii="Calibri" w:hAnsi="Calibri"/>
        </w:rPr>
        <w:t>Virginia’s Budget</w:t>
      </w:r>
      <w:r w:rsidR="006D7A36">
        <w:rPr>
          <w:rFonts w:ascii="Calibri" w:hAnsi="Calibri"/>
        </w:rPr>
        <w:t>”</w:t>
      </w:r>
      <w:r w:rsidR="00CB5539">
        <w:rPr>
          <w:rFonts w:ascii="Calibri" w:hAnsi="Calibri"/>
        </w:rPr>
        <w:t xml:space="preserve"> section of DPB’s </w:t>
      </w:r>
      <w:r w:rsidR="00F55C16">
        <w:rPr>
          <w:rFonts w:ascii="Calibri" w:hAnsi="Calibri"/>
        </w:rPr>
        <w:t xml:space="preserve">Web site </w:t>
      </w:r>
      <w:r w:rsidR="00CB5539">
        <w:rPr>
          <w:rFonts w:ascii="Calibri" w:hAnsi="Calibri"/>
        </w:rPr>
        <w:t>(</w:t>
      </w:r>
      <w:hyperlink r:id="rId15" w:history="1">
        <w:r w:rsidR="005C3182" w:rsidRPr="000438AC">
          <w:rPr>
            <w:rStyle w:val="Hyperlink"/>
            <w:rFonts w:ascii="Calibri" w:hAnsi="Calibri"/>
          </w:rPr>
          <w:t>http://dpb.virginia.gov/budget/budget.cfm</w:t>
        </w:r>
      </w:hyperlink>
      <w:r w:rsidR="00CB5539">
        <w:rPr>
          <w:rFonts w:ascii="Calibri" w:hAnsi="Calibri"/>
        </w:rPr>
        <w:t>)</w:t>
      </w:r>
      <w:r w:rsidR="00D03BE4">
        <w:rPr>
          <w:rFonts w:ascii="Calibri" w:hAnsi="Calibri"/>
        </w:rPr>
        <w:t xml:space="preserve"> or </w:t>
      </w:r>
      <w:hyperlink r:id="rId16" w:history="1">
        <w:r w:rsidR="00D03BE4" w:rsidRPr="00D03BE4">
          <w:rPr>
            <w:rStyle w:val="Hyperlink"/>
            <w:rFonts w:ascii="Calibri" w:hAnsi="Calibri"/>
          </w:rPr>
          <w:t>https://solutions.virginia.gov/pbreports/rdPage.aspx?rdReport=COA_SubObject&amp;ShowWebLink=True</w:t>
        </w:r>
      </w:hyperlink>
      <w:r w:rsidR="0064506D" w:rsidRPr="0093655C">
        <w:rPr>
          <w:rFonts w:ascii="Calibri" w:hAnsi="Calibri"/>
        </w:rPr>
        <w:t>.</w:t>
      </w:r>
    </w:p>
    <w:p w:rsidR="005C3182" w:rsidRDefault="005C3182" w:rsidP="00570627">
      <w:pPr>
        <w:tabs>
          <w:tab w:val="clear" w:pos="360"/>
        </w:tabs>
        <w:spacing w:after="0"/>
        <w:ind w:left="0" w:right="720"/>
        <w:rPr>
          <w:rFonts w:ascii="Calibri" w:hAnsi="Calibri"/>
        </w:rPr>
      </w:pPr>
    </w:p>
    <w:p w:rsidR="005C3182" w:rsidRPr="005C3182" w:rsidRDefault="005C3182" w:rsidP="005C3182">
      <w:pPr>
        <w:pStyle w:val="HelpTopic"/>
      </w:pPr>
      <w:bookmarkStart w:id="14" w:name="_Toc101848183"/>
      <w:bookmarkStart w:id="15" w:name="_Toc102895214"/>
      <w:r w:rsidRPr="005C3182">
        <w:t>FY 201</w:t>
      </w:r>
      <w:r>
        <w:t>5</w:t>
      </w:r>
      <w:r w:rsidRPr="005C3182">
        <w:t xml:space="preserve"> Fringe Benefit Rates</w:t>
      </w:r>
      <w:bookmarkEnd w:id="14"/>
      <w:bookmarkEnd w:id="15"/>
    </w:p>
    <w:p w:rsidR="005C3182" w:rsidRDefault="005C3182" w:rsidP="005C3182">
      <w:pPr>
        <w:pStyle w:val="BodyTextIndent"/>
        <w:spacing w:after="0"/>
      </w:pPr>
    </w:p>
    <w:p w:rsidR="005C3182" w:rsidRDefault="005C3182" w:rsidP="005C3182">
      <w:pPr>
        <w:pStyle w:val="BodyTextIndent"/>
        <w:spacing w:after="0"/>
      </w:pPr>
      <w:r w:rsidRPr="00122D4E">
        <w:rPr>
          <w:rFonts w:cs="Arial"/>
          <w:color w:val="000000"/>
        </w:rPr>
        <w:t>Employer fringe benefit rates</w:t>
      </w:r>
      <w:r>
        <w:rPr>
          <w:rFonts w:cs="Arial"/>
          <w:color w:val="000000"/>
        </w:rPr>
        <w:t>, to be</w:t>
      </w:r>
      <w:r w:rsidRPr="00122D4E">
        <w:rPr>
          <w:rFonts w:cs="Arial"/>
          <w:color w:val="000000"/>
        </w:rPr>
        <w:t xml:space="preserve"> effective July 1, </w:t>
      </w:r>
      <w:r>
        <w:rPr>
          <w:rFonts w:cs="Arial"/>
          <w:color w:val="000000"/>
        </w:rPr>
        <w:t>201</w:t>
      </w:r>
      <w:r w:rsidR="006D7A36">
        <w:rPr>
          <w:rFonts w:cs="Arial"/>
          <w:color w:val="000000"/>
        </w:rPr>
        <w:t>4</w:t>
      </w:r>
      <w:r w:rsidRPr="00122D4E">
        <w:rPr>
          <w:rFonts w:cs="Arial"/>
          <w:color w:val="000000"/>
        </w:rPr>
        <w:t xml:space="preserve">, will be available </w:t>
      </w:r>
      <w:r>
        <w:rPr>
          <w:rFonts w:cs="Arial"/>
          <w:color w:val="000000"/>
        </w:rPr>
        <w:t xml:space="preserve">soon, if not already, </w:t>
      </w:r>
      <w:r w:rsidRPr="00122D4E">
        <w:rPr>
          <w:rFonts w:cs="Arial"/>
          <w:color w:val="000000"/>
        </w:rPr>
        <w:t xml:space="preserve">from the Department of Accounts (DOA) via </w:t>
      </w:r>
      <w:r>
        <w:rPr>
          <w:rFonts w:cs="Arial"/>
          <w:color w:val="000000"/>
        </w:rPr>
        <w:t>their</w:t>
      </w:r>
      <w:r w:rsidRPr="00122D4E">
        <w:rPr>
          <w:rFonts w:cs="Arial"/>
          <w:color w:val="000000"/>
        </w:rPr>
        <w:t xml:space="preserve"> fiscal year-end payroll bulletin.  Payroll bulletins can be found at the following DOA </w:t>
      </w:r>
      <w:r w:rsidR="00F55C16">
        <w:rPr>
          <w:rFonts w:cs="Arial"/>
          <w:color w:val="000000"/>
        </w:rPr>
        <w:t>Web</w:t>
      </w:r>
      <w:r w:rsidRPr="00122D4E">
        <w:rPr>
          <w:rFonts w:cs="Arial"/>
          <w:color w:val="000000"/>
        </w:rPr>
        <w:t xml:space="preserve"> link: </w:t>
      </w:r>
      <w:hyperlink r:id="rId17" w:history="1">
        <w:r w:rsidRPr="00122D4E">
          <w:rPr>
            <w:rStyle w:val="Hyperlink"/>
          </w:rPr>
          <w:t>http://www.doa.virginia.gov/Payroll/Payroll_Main.cfm</w:t>
        </w:r>
      </w:hyperlink>
      <w:r w:rsidRPr="00122D4E">
        <w:t>.</w:t>
      </w:r>
      <w:r>
        <w:br/>
      </w:r>
      <w:r>
        <w:br/>
      </w:r>
      <w:r w:rsidRPr="00DA13A6">
        <w:rPr>
          <w:rFonts w:ascii="Calibri" w:hAnsi="Calibri"/>
        </w:rPr>
        <w:t xml:space="preserve">For your assistance, a copy of the </w:t>
      </w:r>
      <w:r w:rsidR="00D03BE4">
        <w:rPr>
          <w:rFonts w:ascii="Calibri" w:hAnsi="Calibri"/>
        </w:rPr>
        <w:t>new employer</w:t>
      </w:r>
      <w:r w:rsidRPr="00DA13A6">
        <w:rPr>
          <w:rFonts w:ascii="Calibri" w:hAnsi="Calibri"/>
        </w:rPr>
        <w:t xml:space="preserve"> benefit rates can be found in</w:t>
      </w:r>
      <w:r>
        <w:t xml:space="preserve"> </w:t>
      </w:r>
      <w:r w:rsidRPr="00DA13A6">
        <w:rPr>
          <w:rFonts w:ascii="Calibri" w:hAnsi="Calibri"/>
          <w:b/>
          <w:i/>
          <w:szCs w:val="24"/>
        </w:rPr>
        <w:t xml:space="preserve">Appendix </w:t>
      </w:r>
      <w:r w:rsidR="006D7A36" w:rsidRPr="00DA13A6">
        <w:rPr>
          <w:rFonts w:ascii="Calibri" w:hAnsi="Calibri"/>
          <w:b/>
          <w:i/>
          <w:szCs w:val="24"/>
        </w:rPr>
        <w:t>C</w:t>
      </w:r>
      <w:r w:rsidRPr="005C3182">
        <w:t>.</w:t>
      </w:r>
      <w:r>
        <w:t xml:space="preserve"> </w:t>
      </w:r>
    </w:p>
    <w:p w:rsidR="005C3182" w:rsidRPr="0093655C" w:rsidRDefault="005C3182" w:rsidP="00570627">
      <w:pPr>
        <w:tabs>
          <w:tab w:val="clear" w:pos="360"/>
        </w:tabs>
        <w:spacing w:after="0"/>
        <w:ind w:left="0" w:right="720"/>
        <w:rPr>
          <w:rFonts w:ascii="Calibri" w:hAnsi="Calibri"/>
        </w:rPr>
      </w:pPr>
    </w:p>
    <w:p w:rsidR="005A3E47" w:rsidRPr="001820E9" w:rsidRDefault="005A3E47" w:rsidP="001820E9">
      <w:pPr>
        <w:pStyle w:val="HelpTopic"/>
      </w:pPr>
      <w:bookmarkStart w:id="16" w:name="_Toc101848185"/>
      <w:bookmarkStart w:id="17" w:name="_Toc102895216"/>
      <w:bookmarkEnd w:id="12"/>
      <w:bookmarkEnd w:id="13"/>
      <w:r w:rsidRPr="001820E9">
        <w:t xml:space="preserve">Higher Education Equipment Trust Fund </w:t>
      </w:r>
      <w:r w:rsidR="00670DEB" w:rsidRPr="001820E9">
        <w:t>L</w:t>
      </w:r>
      <w:r w:rsidRPr="001820E9">
        <w:t xml:space="preserve">ease </w:t>
      </w:r>
      <w:r w:rsidR="00670DEB" w:rsidRPr="001820E9">
        <w:t>P</w:t>
      </w:r>
      <w:r w:rsidRPr="001820E9">
        <w:t>ayments</w:t>
      </w:r>
      <w:bookmarkEnd w:id="16"/>
      <w:bookmarkEnd w:id="17"/>
      <w:r w:rsidR="00362176" w:rsidRPr="001820E9">
        <w:t xml:space="preserve"> (Institutions of Higher Education Only)</w:t>
      </w:r>
    </w:p>
    <w:p w:rsidR="005A3E47" w:rsidRPr="0093655C" w:rsidRDefault="005A3E47" w:rsidP="0093655C">
      <w:pPr>
        <w:pStyle w:val="BodyTextIndent"/>
        <w:tabs>
          <w:tab w:val="clear" w:pos="360"/>
        </w:tabs>
        <w:spacing w:after="0"/>
        <w:ind w:firstLine="0"/>
        <w:rPr>
          <w:rFonts w:ascii="Calibri" w:hAnsi="Calibri"/>
        </w:rPr>
      </w:pPr>
      <w:r w:rsidRPr="0093655C">
        <w:rPr>
          <w:rFonts w:ascii="Calibri" w:hAnsi="Calibri"/>
        </w:rPr>
        <w:t xml:space="preserve">The </w:t>
      </w:r>
      <w:r w:rsidR="00570627">
        <w:rPr>
          <w:rFonts w:ascii="Calibri" w:hAnsi="Calibri"/>
        </w:rPr>
        <w:t>2014</w:t>
      </w:r>
      <w:r w:rsidR="005130AE" w:rsidRPr="0093655C">
        <w:rPr>
          <w:rFonts w:ascii="Calibri" w:hAnsi="Calibri"/>
        </w:rPr>
        <w:t xml:space="preserve"> </w:t>
      </w:r>
      <w:r w:rsidR="00AD3708" w:rsidRPr="0093655C">
        <w:rPr>
          <w:rFonts w:ascii="Calibri" w:hAnsi="Calibri"/>
        </w:rPr>
        <w:t>Appropriation Act</w:t>
      </w:r>
      <w:r w:rsidRPr="0093655C">
        <w:rPr>
          <w:rFonts w:ascii="Calibri" w:hAnsi="Calibri"/>
        </w:rPr>
        <w:t xml:space="preserve"> provides funding to support debt service on equipment purchased through the Virginia College Building Authority’s (VCBA</w:t>
      </w:r>
      <w:r w:rsidR="00AF5C58" w:rsidRPr="0093655C">
        <w:rPr>
          <w:rFonts w:ascii="Calibri" w:hAnsi="Calibri"/>
        </w:rPr>
        <w:t>’s</w:t>
      </w:r>
      <w:r w:rsidRPr="0093655C">
        <w:rPr>
          <w:rFonts w:ascii="Calibri" w:hAnsi="Calibri"/>
        </w:rPr>
        <w:t xml:space="preserve">) Higher Education Equipment Trust Fund.  As has been the case since FY 2000, the general </w:t>
      </w:r>
      <w:r w:rsidR="003C2F48" w:rsidRPr="0093655C">
        <w:rPr>
          <w:rFonts w:ascii="Calibri" w:hAnsi="Calibri"/>
        </w:rPr>
        <w:t xml:space="preserve">fund </w:t>
      </w:r>
      <w:r w:rsidRPr="0093655C">
        <w:rPr>
          <w:rFonts w:ascii="Calibri" w:hAnsi="Calibri"/>
        </w:rPr>
        <w:t>and nongeneral fund appropriations are included within the Treasury Board budget instead of within the budgets of each institution of higher education.  This allows the Commonwealth to consolidate debt service on tax-supported debt (i.e.</w:t>
      </w:r>
      <w:r w:rsidR="003C2F48" w:rsidRPr="0093655C">
        <w:rPr>
          <w:rFonts w:ascii="Calibri" w:hAnsi="Calibri"/>
        </w:rPr>
        <w:t>,</w:t>
      </w:r>
      <w:r w:rsidRPr="0093655C">
        <w:rPr>
          <w:rFonts w:ascii="Calibri" w:hAnsi="Calibri"/>
        </w:rPr>
        <w:t xml:space="preserve"> debt supported primarily </w:t>
      </w:r>
      <w:r w:rsidR="003C2F48" w:rsidRPr="0093655C">
        <w:rPr>
          <w:rFonts w:ascii="Calibri" w:hAnsi="Calibri"/>
        </w:rPr>
        <w:t>by</w:t>
      </w:r>
      <w:r w:rsidRPr="0093655C">
        <w:rPr>
          <w:rFonts w:ascii="Calibri" w:hAnsi="Calibri"/>
        </w:rPr>
        <w:t xml:space="preserve"> the general fund) in one central location within the Treasury Board.</w:t>
      </w:r>
    </w:p>
    <w:p w:rsidR="0022029C" w:rsidRPr="0093655C" w:rsidRDefault="0022029C" w:rsidP="0093655C">
      <w:pPr>
        <w:pStyle w:val="BodyTextIndent"/>
        <w:tabs>
          <w:tab w:val="clear" w:pos="360"/>
        </w:tabs>
        <w:spacing w:after="0"/>
        <w:ind w:firstLine="0"/>
        <w:rPr>
          <w:rFonts w:ascii="Calibri" w:hAnsi="Calibri"/>
        </w:rPr>
      </w:pPr>
    </w:p>
    <w:p w:rsidR="005A3E47" w:rsidRPr="0093655C" w:rsidRDefault="005A3E47" w:rsidP="0093655C">
      <w:pPr>
        <w:pStyle w:val="BodyTextIndent"/>
        <w:tabs>
          <w:tab w:val="clear" w:pos="360"/>
        </w:tabs>
        <w:spacing w:after="0"/>
        <w:ind w:firstLine="0"/>
        <w:rPr>
          <w:rFonts w:ascii="Calibri" w:hAnsi="Calibri"/>
        </w:rPr>
      </w:pPr>
      <w:r w:rsidRPr="0093655C">
        <w:rPr>
          <w:rFonts w:ascii="Calibri" w:hAnsi="Calibri"/>
        </w:rPr>
        <w:t xml:space="preserve">Since the general fund appropriation </w:t>
      </w:r>
      <w:r w:rsidR="0030697C" w:rsidRPr="0093655C">
        <w:rPr>
          <w:rFonts w:ascii="Calibri" w:hAnsi="Calibri"/>
        </w:rPr>
        <w:t>is</w:t>
      </w:r>
      <w:r w:rsidRPr="0093655C">
        <w:rPr>
          <w:rFonts w:ascii="Calibri" w:hAnsi="Calibri"/>
        </w:rPr>
        <w:t xml:space="preserve"> now included as part of the Treasury Board budget, the Treasury Board makes the debt service payment to the VCBA directly.  However, the nongeneral fund portion of the payment cannot be made to the VCBA until funds are transferred from each institution to support the nongeneral fund appropriation authority </w:t>
      </w:r>
      <w:r w:rsidRPr="0093655C">
        <w:rPr>
          <w:rFonts w:ascii="Calibri" w:hAnsi="Calibri"/>
        </w:rPr>
        <w:lastRenderedPageBreak/>
        <w:t xml:space="preserve">provided in the </w:t>
      </w:r>
      <w:r w:rsidR="00570627">
        <w:rPr>
          <w:rFonts w:ascii="Calibri" w:hAnsi="Calibri"/>
        </w:rPr>
        <w:t>2014</w:t>
      </w:r>
      <w:r w:rsidR="009D0B65" w:rsidRPr="0093655C">
        <w:rPr>
          <w:rFonts w:ascii="Calibri" w:hAnsi="Calibri"/>
        </w:rPr>
        <w:t xml:space="preserve"> </w:t>
      </w:r>
      <w:r w:rsidR="00AD3708" w:rsidRPr="0093655C">
        <w:rPr>
          <w:rFonts w:ascii="Calibri" w:hAnsi="Calibri"/>
        </w:rPr>
        <w:t>Appropriation Act</w:t>
      </w:r>
      <w:r w:rsidRPr="0093655C">
        <w:rPr>
          <w:rFonts w:ascii="Calibri" w:hAnsi="Calibri"/>
        </w:rPr>
        <w:t xml:space="preserve">.  Therefore, DOA will take action on or about July </w:t>
      </w:r>
      <w:r w:rsidR="003E1D72" w:rsidRPr="0093655C">
        <w:rPr>
          <w:rFonts w:ascii="Calibri" w:hAnsi="Calibri"/>
        </w:rPr>
        <w:t>1</w:t>
      </w:r>
      <w:r w:rsidRPr="0093655C">
        <w:rPr>
          <w:rFonts w:ascii="Calibri" w:hAnsi="Calibri"/>
        </w:rPr>
        <w:t xml:space="preserve"> to transfer the appropriate cash amount listed </w:t>
      </w:r>
      <w:r w:rsidRPr="008479E0">
        <w:rPr>
          <w:rFonts w:ascii="Calibri" w:hAnsi="Calibri"/>
        </w:rPr>
        <w:t xml:space="preserve">in Item </w:t>
      </w:r>
      <w:r w:rsidR="008479E0" w:rsidRPr="008479E0">
        <w:rPr>
          <w:rFonts w:ascii="Calibri" w:hAnsi="Calibri"/>
        </w:rPr>
        <w:t>276</w:t>
      </w:r>
      <w:r w:rsidR="00E95F39" w:rsidRPr="008479E0">
        <w:rPr>
          <w:rFonts w:ascii="Calibri" w:hAnsi="Calibri"/>
        </w:rPr>
        <w:t>,</w:t>
      </w:r>
      <w:r w:rsidRPr="008479E0">
        <w:rPr>
          <w:rFonts w:ascii="Calibri" w:hAnsi="Calibri"/>
        </w:rPr>
        <w:t xml:space="preserve"> paragraph </w:t>
      </w:r>
      <w:r w:rsidR="00780F81" w:rsidRPr="008479E0">
        <w:rPr>
          <w:rFonts w:ascii="Calibri" w:hAnsi="Calibri"/>
        </w:rPr>
        <w:t xml:space="preserve">E. </w:t>
      </w:r>
      <w:r w:rsidR="00E968DC" w:rsidRPr="008479E0">
        <w:rPr>
          <w:rFonts w:ascii="Calibri" w:hAnsi="Calibri"/>
        </w:rPr>
        <w:t>5</w:t>
      </w:r>
      <w:r w:rsidR="00780F81" w:rsidRPr="008479E0">
        <w:rPr>
          <w:rFonts w:ascii="Calibri" w:hAnsi="Calibri"/>
        </w:rPr>
        <w:t>.</w:t>
      </w:r>
      <w:r w:rsidRPr="0093655C">
        <w:rPr>
          <w:rFonts w:ascii="Calibri" w:hAnsi="Calibri"/>
        </w:rPr>
        <w:t xml:space="preserve"> </w:t>
      </w:r>
      <w:proofErr w:type="gramStart"/>
      <w:r w:rsidRPr="0093655C">
        <w:rPr>
          <w:rFonts w:ascii="Calibri" w:hAnsi="Calibri"/>
        </w:rPr>
        <w:t>for</w:t>
      </w:r>
      <w:proofErr w:type="gramEnd"/>
      <w:r w:rsidRPr="0093655C">
        <w:rPr>
          <w:rFonts w:ascii="Calibri" w:hAnsi="Calibri"/>
        </w:rPr>
        <w:t xml:space="preserve"> all institutions from balances in fund code 0300 (higher education operating).  </w:t>
      </w:r>
      <w:proofErr w:type="gramStart"/>
      <w:r w:rsidRPr="0093655C">
        <w:rPr>
          <w:rFonts w:ascii="Calibri" w:hAnsi="Calibri"/>
        </w:rPr>
        <w:t xml:space="preserve">See </w:t>
      </w:r>
      <w:r w:rsidR="00EB48D3" w:rsidRPr="00DA13A6">
        <w:rPr>
          <w:rFonts w:ascii="Calibri" w:hAnsi="Calibri"/>
          <w:b/>
          <w:i/>
        </w:rPr>
        <w:t xml:space="preserve">Appendix </w:t>
      </w:r>
      <w:r w:rsidR="003164EB">
        <w:rPr>
          <w:rFonts w:ascii="Calibri" w:hAnsi="Calibri"/>
          <w:b/>
          <w:i/>
        </w:rPr>
        <w:t>D</w:t>
      </w:r>
      <w:r w:rsidRPr="0093655C">
        <w:rPr>
          <w:rFonts w:ascii="Calibri" w:hAnsi="Calibri"/>
        </w:rPr>
        <w:t>.</w:t>
      </w:r>
      <w:proofErr w:type="gramEnd"/>
    </w:p>
    <w:p w:rsidR="0022029C" w:rsidRPr="0093655C" w:rsidRDefault="0022029C" w:rsidP="0093655C">
      <w:pPr>
        <w:pStyle w:val="BodyTextIndent"/>
        <w:tabs>
          <w:tab w:val="clear" w:pos="360"/>
        </w:tabs>
        <w:spacing w:after="0"/>
        <w:ind w:firstLine="0"/>
        <w:rPr>
          <w:rFonts w:ascii="Calibri" w:hAnsi="Calibri"/>
        </w:rPr>
      </w:pPr>
    </w:p>
    <w:p w:rsidR="00B42650" w:rsidRPr="0093655C" w:rsidRDefault="005A3E47" w:rsidP="001820E9">
      <w:pPr>
        <w:pStyle w:val="BodyTextIndent"/>
        <w:tabs>
          <w:tab w:val="clear" w:pos="360"/>
        </w:tabs>
        <w:spacing w:after="0"/>
        <w:ind w:firstLine="0"/>
        <w:rPr>
          <w:rFonts w:ascii="Calibri" w:hAnsi="Calibri"/>
        </w:rPr>
      </w:pPr>
      <w:r w:rsidRPr="0093655C">
        <w:rPr>
          <w:rFonts w:ascii="Calibri" w:hAnsi="Calibri"/>
        </w:rPr>
        <w:t>No action will be necessary on the part of the institutions for payment of debt service associated with the Higher Education Equipment Trust Fund.</w:t>
      </w:r>
    </w:p>
    <w:p w:rsidR="005A3E47" w:rsidRPr="001820E9" w:rsidRDefault="005A3E47" w:rsidP="001820E9">
      <w:pPr>
        <w:pStyle w:val="HelpTopic"/>
      </w:pPr>
      <w:bookmarkStart w:id="18" w:name="_Toc101848186"/>
      <w:bookmarkStart w:id="19" w:name="_Toc102895217"/>
      <w:r w:rsidRPr="001820E9">
        <w:t xml:space="preserve">Capital </w:t>
      </w:r>
      <w:r w:rsidR="00670DEB" w:rsidRPr="001820E9">
        <w:t>F</w:t>
      </w:r>
      <w:r w:rsidRPr="001820E9">
        <w:t xml:space="preserve">ees for </w:t>
      </w:r>
      <w:r w:rsidR="00670DEB" w:rsidRPr="001820E9">
        <w:t>O</w:t>
      </w:r>
      <w:r w:rsidRPr="001820E9">
        <w:t>ut-of-</w:t>
      </w:r>
      <w:r w:rsidR="00670DEB" w:rsidRPr="001820E9">
        <w:t>S</w:t>
      </w:r>
      <w:r w:rsidRPr="001820E9">
        <w:t xml:space="preserve">tate </w:t>
      </w:r>
      <w:r w:rsidR="00670DEB" w:rsidRPr="001820E9">
        <w:t>S</w:t>
      </w:r>
      <w:r w:rsidRPr="001820E9">
        <w:t>tudents</w:t>
      </w:r>
      <w:bookmarkEnd w:id="18"/>
      <w:bookmarkEnd w:id="19"/>
      <w:r w:rsidR="00362176" w:rsidRPr="001820E9">
        <w:t xml:space="preserve"> (Institutions of Higher Ed Only)</w:t>
      </w:r>
    </w:p>
    <w:p w:rsidR="005A3E47" w:rsidRPr="0093655C" w:rsidRDefault="005A3E47" w:rsidP="006A5BF6">
      <w:pPr>
        <w:pStyle w:val="BodyTextIndent"/>
        <w:tabs>
          <w:tab w:val="clear" w:pos="360"/>
        </w:tabs>
        <w:spacing w:after="0"/>
        <w:ind w:firstLine="0"/>
        <w:rPr>
          <w:rFonts w:ascii="Calibri" w:hAnsi="Calibri"/>
        </w:rPr>
      </w:pPr>
      <w:r w:rsidRPr="0093655C">
        <w:rPr>
          <w:rFonts w:ascii="Calibri" w:hAnsi="Calibri"/>
        </w:rPr>
        <w:t xml:space="preserve">The </w:t>
      </w:r>
      <w:r w:rsidR="00570627">
        <w:rPr>
          <w:rFonts w:ascii="Calibri" w:hAnsi="Calibri"/>
        </w:rPr>
        <w:t>2014</w:t>
      </w:r>
      <w:r w:rsidR="009D0B65" w:rsidRPr="0093655C">
        <w:rPr>
          <w:rFonts w:ascii="Calibri" w:hAnsi="Calibri"/>
        </w:rPr>
        <w:t xml:space="preserve"> </w:t>
      </w:r>
      <w:r w:rsidRPr="0093655C">
        <w:rPr>
          <w:rFonts w:ascii="Calibri" w:hAnsi="Calibri"/>
        </w:rPr>
        <w:t>General Assembly approved a</w:t>
      </w:r>
      <w:r w:rsidR="00780F81" w:rsidRPr="0093655C">
        <w:rPr>
          <w:rFonts w:ascii="Calibri" w:hAnsi="Calibri"/>
        </w:rPr>
        <w:t xml:space="preserve">n additional </w:t>
      </w:r>
      <w:r w:rsidRPr="0093655C">
        <w:rPr>
          <w:rFonts w:ascii="Calibri" w:hAnsi="Calibri"/>
        </w:rPr>
        <w:t>fee to be charged to out-of-state students</w:t>
      </w:r>
      <w:r w:rsidR="008D127F" w:rsidRPr="0093655C">
        <w:rPr>
          <w:rFonts w:ascii="Calibri" w:hAnsi="Calibri"/>
        </w:rPr>
        <w:t xml:space="preserve"> beginning in </w:t>
      </w:r>
      <w:r w:rsidR="00C03140" w:rsidRPr="0093655C">
        <w:rPr>
          <w:rFonts w:ascii="Calibri" w:hAnsi="Calibri"/>
        </w:rPr>
        <w:t xml:space="preserve">FY </w:t>
      </w:r>
      <w:r w:rsidR="00570627">
        <w:rPr>
          <w:rFonts w:ascii="Calibri" w:hAnsi="Calibri"/>
        </w:rPr>
        <w:t>2015</w:t>
      </w:r>
      <w:r w:rsidRPr="0093655C">
        <w:rPr>
          <w:rFonts w:ascii="Calibri" w:hAnsi="Calibri"/>
        </w:rPr>
        <w:t>.  The funds will be used to pay a portion of the debt service on bond</w:t>
      </w:r>
      <w:r w:rsidR="00E968DC" w:rsidRPr="0093655C">
        <w:rPr>
          <w:rFonts w:ascii="Calibri" w:hAnsi="Calibri"/>
        </w:rPr>
        <w:t>s</w:t>
      </w:r>
      <w:r w:rsidRPr="0093655C">
        <w:rPr>
          <w:rFonts w:ascii="Calibri" w:hAnsi="Calibri"/>
        </w:rPr>
        <w:t xml:space="preserve"> issue</w:t>
      </w:r>
      <w:r w:rsidR="00E968DC" w:rsidRPr="0093655C">
        <w:rPr>
          <w:rFonts w:ascii="Calibri" w:hAnsi="Calibri"/>
        </w:rPr>
        <w:t>d</w:t>
      </w:r>
      <w:r w:rsidRPr="0093655C">
        <w:rPr>
          <w:rFonts w:ascii="Calibri" w:hAnsi="Calibri"/>
        </w:rPr>
        <w:t xml:space="preserve"> </w:t>
      </w:r>
      <w:r w:rsidR="00E968DC" w:rsidRPr="0093655C">
        <w:rPr>
          <w:rFonts w:ascii="Calibri" w:hAnsi="Calibri"/>
        </w:rPr>
        <w:t xml:space="preserve">under </w:t>
      </w:r>
      <w:r w:rsidRPr="0093655C">
        <w:rPr>
          <w:rFonts w:ascii="Calibri" w:hAnsi="Calibri"/>
        </w:rPr>
        <w:t xml:space="preserve">the </w:t>
      </w:r>
      <w:r w:rsidR="00E968DC" w:rsidRPr="0093655C">
        <w:rPr>
          <w:rFonts w:ascii="Calibri" w:hAnsi="Calibri"/>
        </w:rPr>
        <w:t>21</w:t>
      </w:r>
      <w:r w:rsidR="00E968DC" w:rsidRPr="0093655C">
        <w:rPr>
          <w:rFonts w:ascii="Calibri" w:hAnsi="Calibri"/>
          <w:vertAlign w:val="superscript"/>
        </w:rPr>
        <w:t>st</w:t>
      </w:r>
      <w:r w:rsidR="00E968DC" w:rsidRPr="0093655C">
        <w:rPr>
          <w:rFonts w:ascii="Calibri" w:hAnsi="Calibri"/>
        </w:rPr>
        <w:t xml:space="preserve"> Century Program</w:t>
      </w:r>
      <w:r w:rsidRPr="0093655C">
        <w:rPr>
          <w:rFonts w:ascii="Calibri" w:hAnsi="Calibri"/>
          <w:b/>
        </w:rPr>
        <w:t xml:space="preserve">.  </w:t>
      </w:r>
      <w:r w:rsidRPr="00B74EA5">
        <w:rPr>
          <w:rFonts w:ascii="Calibri" w:hAnsi="Calibri"/>
        </w:rPr>
        <w:t xml:space="preserve">Item </w:t>
      </w:r>
      <w:r w:rsidR="00B74EA5" w:rsidRPr="00B74EA5">
        <w:rPr>
          <w:rFonts w:ascii="Calibri" w:hAnsi="Calibri"/>
        </w:rPr>
        <w:t>276</w:t>
      </w:r>
      <w:r w:rsidRPr="00B74EA5">
        <w:rPr>
          <w:rFonts w:ascii="Calibri" w:hAnsi="Calibri"/>
        </w:rPr>
        <w:t xml:space="preserve">, paragraph </w:t>
      </w:r>
      <w:r w:rsidR="00780F81" w:rsidRPr="00B74EA5">
        <w:rPr>
          <w:rFonts w:ascii="Calibri" w:hAnsi="Calibri"/>
        </w:rPr>
        <w:t xml:space="preserve">E. </w:t>
      </w:r>
      <w:r w:rsidR="00B74EA5" w:rsidRPr="00B74EA5">
        <w:rPr>
          <w:rFonts w:ascii="Calibri" w:hAnsi="Calibri"/>
        </w:rPr>
        <w:t>5</w:t>
      </w:r>
      <w:r w:rsidR="00780F81" w:rsidRPr="00B74EA5">
        <w:rPr>
          <w:rFonts w:ascii="Calibri" w:hAnsi="Calibri"/>
        </w:rPr>
        <w:t>.</w:t>
      </w:r>
      <w:r w:rsidRPr="0093655C">
        <w:rPr>
          <w:rFonts w:ascii="Calibri" w:hAnsi="Calibri"/>
        </w:rPr>
        <w:t xml:space="preserve"> </w:t>
      </w:r>
      <w:proofErr w:type="gramStart"/>
      <w:r w:rsidRPr="0093655C">
        <w:rPr>
          <w:rFonts w:ascii="Calibri" w:hAnsi="Calibri"/>
        </w:rPr>
        <w:t>of</w:t>
      </w:r>
      <w:proofErr w:type="gramEnd"/>
      <w:r w:rsidRPr="0093655C">
        <w:rPr>
          <w:rFonts w:ascii="Calibri" w:hAnsi="Calibri"/>
        </w:rPr>
        <w:t xml:space="preserve"> the </w:t>
      </w:r>
      <w:r w:rsidR="00570627">
        <w:rPr>
          <w:rFonts w:ascii="Calibri" w:hAnsi="Calibri"/>
        </w:rPr>
        <w:t>2014</w:t>
      </w:r>
      <w:r w:rsidR="005130AE" w:rsidRPr="0093655C">
        <w:rPr>
          <w:rFonts w:ascii="Calibri" w:hAnsi="Calibri"/>
        </w:rPr>
        <w:t xml:space="preserve"> </w:t>
      </w:r>
      <w:r w:rsidR="00AD3708" w:rsidRPr="0093655C">
        <w:rPr>
          <w:rFonts w:ascii="Calibri" w:hAnsi="Calibri"/>
        </w:rPr>
        <w:t>Appropriation Act</w:t>
      </w:r>
      <w:r w:rsidR="0056328F" w:rsidRPr="0093655C">
        <w:rPr>
          <w:rFonts w:ascii="Calibri" w:hAnsi="Calibri"/>
        </w:rPr>
        <w:t xml:space="preserve"> </w:t>
      </w:r>
      <w:r w:rsidRPr="0093655C">
        <w:rPr>
          <w:rFonts w:ascii="Calibri" w:hAnsi="Calibri"/>
        </w:rPr>
        <w:t xml:space="preserve">sets out the amounts designated for each institution.  No action is necessary at this time.  See </w:t>
      </w:r>
      <w:r w:rsidR="00EB48D3" w:rsidRPr="00DA13A6">
        <w:rPr>
          <w:rFonts w:ascii="Calibri" w:hAnsi="Calibri"/>
          <w:b/>
          <w:i/>
        </w:rPr>
        <w:t xml:space="preserve">Appendix </w:t>
      </w:r>
      <w:r w:rsidR="003164EB">
        <w:rPr>
          <w:rFonts w:ascii="Calibri" w:hAnsi="Calibri"/>
          <w:b/>
          <w:i/>
        </w:rPr>
        <w:t>E</w:t>
      </w:r>
      <w:r w:rsidRPr="0093655C">
        <w:rPr>
          <w:rFonts w:ascii="Calibri" w:hAnsi="Calibri"/>
        </w:rPr>
        <w:t>.</w:t>
      </w:r>
    </w:p>
    <w:p w:rsidR="003C3CC9" w:rsidRPr="0086018D" w:rsidRDefault="003C3CC9" w:rsidP="0086018D">
      <w:pPr>
        <w:pStyle w:val="MyHeading"/>
      </w:pPr>
      <w:r>
        <w:rPr>
          <w:rFonts w:ascii="Bookman Old Style" w:hAnsi="Bookman Old Style"/>
          <w:b w:val="0"/>
          <w:i/>
          <w:sz w:val="36"/>
          <w:szCs w:val="36"/>
        </w:rPr>
        <w:br w:type="page"/>
      </w:r>
      <w:r w:rsidRPr="0086018D">
        <w:lastRenderedPageBreak/>
        <w:t>Capital Projects</w:t>
      </w:r>
    </w:p>
    <w:p w:rsidR="003C3CC9" w:rsidRDefault="000D198D" w:rsidP="001820E9">
      <w:pPr>
        <w:pStyle w:val="BodyTextIndent"/>
        <w:spacing w:after="0"/>
        <w:ind w:firstLine="0"/>
        <w:rPr>
          <w:rFonts w:ascii="Calibri" w:hAnsi="Calibri"/>
          <w:szCs w:val="24"/>
        </w:rPr>
      </w:pPr>
      <w:r w:rsidRPr="000D198D">
        <w:rPr>
          <w:rFonts w:asciiTheme="majorHAnsi" w:hAnsiTheme="majorHAnsi"/>
          <w:sz w:val="16"/>
          <w:szCs w:val="16"/>
        </w:rPr>
        <w:pict>
          <v:rect id="_x0000_i1029" style="width:468pt;height:1.5pt" o:hralign="center" o:hrstd="t" o:hr="t" fillcolor="#a0a0a0" stroked="f"/>
        </w:pict>
      </w:r>
    </w:p>
    <w:p w:rsidR="003C3CC9" w:rsidRPr="003C3CC9" w:rsidRDefault="003C3CC9" w:rsidP="003C3CC9">
      <w:pPr>
        <w:pStyle w:val="BodyTextIndent"/>
        <w:spacing w:after="0"/>
        <w:rPr>
          <w:rFonts w:ascii="Calibri" w:hAnsi="Calibri"/>
          <w:szCs w:val="24"/>
        </w:rPr>
      </w:pPr>
    </w:p>
    <w:p w:rsidR="003C3CC9" w:rsidRPr="001820E9" w:rsidRDefault="003C3CC9" w:rsidP="001820E9">
      <w:pPr>
        <w:pStyle w:val="HelpTopic"/>
      </w:pPr>
      <w:r w:rsidRPr="001820E9">
        <w:t>Execution of New Capital Projects</w:t>
      </w:r>
    </w:p>
    <w:p w:rsidR="003C3CC9" w:rsidRPr="003C3CC9" w:rsidRDefault="003C3CC9" w:rsidP="003C3CC9">
      <w:pPr>
        <w:pStyle w:val="BodyTextIndent"/>
        <w:spacing w:after="0"/>
        <w:ind w:firstLine="0"/>
        <w:rPr>
          <w:rFonts w:ascii="Calibri" w:hAnsi="Calibri"/>
          <w:szCs w:val="24"/>
        </w:rPr>
      </w:pPr>
      <w:r w:rsidRPr="003C3CC9">
        <w:rPr>
          <w:rFonts w:ascii="Calibri" w:hAnsi="Calibri"/>
          <w:szCs w:val="24"/>
        </w:rPr>
        <w:t>The process for executing new capital projects will vary, depending on whether the new project is included in a central capital pool or is a “stand-alone” project.</w:t>
      </w:r>
    </w:p>
    <w:p w:rsidR="003C3CC9" w:rsidRPr="003C3CC9" w:rsidRDefault="003C3CC9" w:rsidP="003C3CC9">
      <w:pPr>
        <w:pStyle w:val="BodyTextIndent"/>
        <w:spacing w:after="0"/>
        <w:ind w:firstLine="0"/>
        <w:rPr>
          <w:rFonts w:ascii="Calibri" w:hAnsi="Calibri"/>
          <w:szCs w:val="24"/>
        </w:rPr>
      </w:pPr>
    </w:p>
    <w:p w:rsidR="003C3CC9" w:rsidRPr="001820E9" w:rsidRDefault="003C3CC9" w:rsidP="001820E9">
      <w:pPr>
        <w:pStyle w:val="HelpTopic"/>
      </w:pPr>
      <w:r w:rsidRPr="001820E9">
        <w:t>Stand-Alone Projects Newly Authorized in the Budget</w:t>
      </w:r>
    </w:p>
    <w:p w:rsidR="003C3CC9" w:rsidRPr="003C3CC9" w:rsidRDefault="003C3CC9" w:rsidP="003C3CC9">
      <w:pPr>
        <w:pStyle w:val="BodyTextIndent"/>
        <w:spacing w:after="0"/>
        <w:ind w:firstLine="0"/>
        <w:rPr>
          <w:rFonts w:ascii="Calibri" w:hAnsi="Calibri"/>
          <w:szCs w:val="24"/>
        </w:rPr>
      </w:pPr>
    </w:p>
    <w:p w:rsidR="003C3CC9" w:rsidRDefault="003C3CC9" w:rsidP="003C3CC9">
      <w:pPr>
        <w:pStyle w:val="BodyTextIndent"/>
        <w:spacing w:after="0"/>
        <w:ind w:firstLine="0"/>
        <w:rPr>
          <w:rFonts w:ascii="Calibri" w:hAnsi="Calibri"/>
          <w:szCs w:val="24"/>
        </w:rPr>
      </w:pPr>
      <w:proofErr w:type="gramStart"/>
      <w:r w:rsidRPr="003C3CC9">
        <w:rPr>
          <w:rFonts w:ascii="Calibri" w:hAnsi="Calibri"/>
          <w:b/>
          <w:bCs/>
          <w:i/>
          <w:iCs/>
          <w:szCs w:val="24"/>
        </w:rPr>
        <w:t>Initial Appropriations</w:t>
      </w:r>
      <w:r w:rsidRPr="003C3CC9">
        <w:rPr>
          <w:rFonts w:ascii="Calibri" w:hAnsi="Calibri"/>
          <w:b/>
          <w:i/>
          <w:szCs w:val="24"/>
        </w:rPr>
        <w:t>.</w:t>
      </w:r>
      <w:proofErr w:type="gramEnd"/>
      <w:r w:rsidRPr="003C3CC9">
        <w:rPr>
          <w:rFonts w:ascii="Calibri" w:hAnsi="Calibri"/>
          <w:szCs w:val="24"/>
        </w:rPr>
        <w:t xml:space="preserve">  DPB </w:t>
      </w:r>
      <w:r w:rsidR="00D03BE4">
        <w:rPr>
          <w:rFonts w:ascii="Calibri" w:hAnsi="Calibri"/>
          <w:szCs w:val="24"/>
        </w:rPr>
        <w:t>has</w:t>
      </w:r>
      <w:r w:rsidRPr="003C3CC9">
        <w:rPr>
          <w:rFonts w:ascii="Calibri" w:hAnsi="Calibri"/>
          <w:szCs w:val="24"/>
        </w:rPr>
        <w:t xml:space="preserve"> enter</w:t>
      </w:r>
      <w:r w:rsidR="00D03BE4">
        <w:rPr>
          <w:rFonts w:ascii="Calibri" w:hAnsi="Calibri"/>
          <w:szCs w:val="24"/>
        </w:rPr>
        <w:t>ed</w:t>
      </w:r>
      <w:r w:rsidRPr="003C3CC9">
        <w:rPr>
          <w:rFonts w:ascii="Calibri" w:hAnsi="Calibri"/>
          <w:szCs w:val="24"/>
        </w:rPr>
        <w:t xml:space="preserve"> the appropriations for all state-owned projects into the PB System and transmit</w:t>
      </w:r>
      <w:r w:rsidR="00D03BE4">
        <w:rPr>
          <w:rFonts w:ascii="Calibri" w:hAnsi="Calibri"/>
          <w:szCs w:val="24"/>
        </w:rPr>
        <w:t>ted</w:t>
      </w:r>
      <w:r w:rsidRPr="003C3CC9">
        <w:rPr>
          <w:rFonts w:ascii="Calibri" w:hAnsi="Calibri"/>
          <w:szCs w:val="24"/>
        </w:rPr>
        <w:t xml:space="preserve"> them to CARS.  </w:t>
      </w:r>
      <w:r w:rsidRPr="003C3CC9">
        <w:rPr>
          <w:rFonts w:ascii="Calibri" w:hAnsi="Calibri"/>
          <w:b/>
          <w:szCs w:val="24"/>
        </w:rPr>
        <w:t>Do not submit budget execution adjustments to enter new project appropriations into the PB System and CARS</w:t>
      </w:r>
      <w:r w:rsidR="00D03BE4">
        <w:rPr>
          <w:rFonts w:ascii="Calibri" w:hAnsi="Calibri"/>
          <w:b/>
          <w:szCs w:val="24"/>
        </w:rPr>
        <w:t xml:space="preserve"> for stand-alone projects in the 2014 Appropriation Act</w:t>
      </w:r>
      <w:r w:rsidRPr="003C3CC9">
        <w:rPr>
          <w:rFonts w:ascii="Calibri" w:hAnsi="Calibri"/>
          <w:b/>
          <w:szCs w:val="24"/>
        </w:rPr>
        <w:t>.</w:t>
      </w:r>
      <w:r w:rsidRPr="003C3CC9">
        <w:rPr>
          <w:rFonts w:ascii="Calibri" w:hAnsi="Calibri"/>
          <w:szCs w:val="24"/>
        </w:rPr>
        <w:t xml:space="preserve">  </w:t>
      </w:r>
    </w:p>
    <w:p w:rsidR="00D03BE4" w:rsidRPr="003C3CC9" w:rsidRDefault="00D03BE4" w:rsidP="003C3CC9">
      <w:pPr>
        <w:pStyle w:val="BodyTextIndent"/>
        <w:spacing w:after="0"/>
        <w:ind w:firstLine="0"/>
        <w:rPr>
          <w:rFonts w:ascii="Calibri" w:hAnsi="Calibri"/>
          <w:szCs w:val="24"/>
        </w:rPr>
      </w:pPr>
    </w:p>
    <w:p w:rsidR="003C3CC9" w:rsidRPr="003C3CC9" w:rsidRDefault="003C3CC9" w:rsidP="003C3CC9">
      <w:pPr>
        <w:pStyle w:val="BodyTextIndent"/>
        <w:spacing w:after="0"/>
        <w:ind w:firstLine="0"/>
        <w:rPr>
          <w:rFonts w:ascii="Calibri" w:hAnsi="Calibri"/>
          <w:szCs w:val="24"/>
        </w:rPr>
      </w:pPr>
      <w:proofErr w:type="gramStart"/>
      <w:r w:rsidRPr="003C3CC9">
        <w:rPr>
          <w:rFonts w:ascii="Calibri" w:hAnsi="Calibri"/>
          <w:b/>
          <w:bCs/>
          <w:i/>
          <w:iCs/>
          <w:szCs w:val="24"/>
        </w:rPr>
        <w:t>Project Initiation or Change.</w:t>
      </w:r>
      <w:proofErr w:type="gramEnd"/>
      <w:r w:rsidRPr="003C3CC9">
        <w:rPr>
          <w:rFonts w:ascii="Calibri" w:hAnsi="Calibri"/>
          <w:szCs w:val="24"/>
        </w:rPr>
        <w:t xml:space="preserve">  Each affected agency must submit an E&amp;B Form CO-2 (CO-2) or a related HECO (Higher Education) form, if applicable, to the Department of General Services (DGS) to initiate a new project or increase the project’s appropriation.  If a project is partially funded in each year of the biennium and a CO-2 or HECO has been approved for the first year, a separate CO-2 or HECO must be submitted in FY 201</w:t>
      </w:r>
      <w:r w:rsidR="00C25F8C">
        <w:rPr>
          <w:rFonts w:ascii="Calibri" w:hAnsi="Calibri"/>
          <w:szCs w:val="24"/>
        </w:rPr>
        <w:t>6</w:t>
      </w:r>
      <w:r w:rsidRPr="003C3CC9">
        <w:rPr>
          <w:rFonts w:ascii="Calibri" w:hAnsi="Calibri"/>
          <w:szCs w:val="24"/>
        </w:rPr>
        <w:t xml:space="preserve"> for the second year’s appropriation.   CO-2s or HECOs for FY 201</w:t>
      </w:r>
      <w:r w:rsidR="00B74EA5">
        <w:rPr>
          <w:rFonts w:ascii="Calibri" w:hAnsi="Calibri"/>
          <w:szCs w:val="24"/>
        </w:rPr>
        <w:t>5</w:t>
      </w:r>
      <w:r w:rsidRPr="003C3CC9">
        <w:rPr>
          <w:rFonts w:ascii="Calibri" w:hAnsi="Calibri"/>
          <w:szCs w:val="24"/>
        </w:rPr>
        <w:t xml:space="preserve"> submitted before the start of the fiscal year will be held at DPB until the start of the fiscal year.  CO-2s or HECOs for FY 201</w:t>
      </w:r>
      <w:r w:rsidR="00B74EA5">
        <w:rPr>
          <w:rFonts w:ascii="Calibri" w:hAnsi="Calibri"/>
          <w:szCs w:val="24"/>
        </w:rPr>
        <w:t>5</w:t>
      </w:r>
      <w:r w:rsidRPr="003C3CC9">
        <w:rPr>
          <w:rFonts w:ascii="Calibri" w:hAnsi="Calibri"/>
          <w:szCs w:val="24"/>
        </w:rPr>
        <w:t xml:space="preserve"> funding of projects approved by the 201</w:t>
      </w:r>
      <w:r w:rsidR="004705D9">
        <w:rPr>
          <w:rFonts w:ascii="Calibri" w:hAnsi="Calibri"/>
          <w:szCs w:val="24"/>
        </w:rPr>
        <w:t>4</w:t>
      </w:r>
      <w:r w:rsidRPr="003C3CC9">
        <w:rPr>
          <w:rFonts w:ascii="Calibri" w:hAnsi="Calibri"/>
          <w:szCs w:val="24"/>
        </w:rPr>
        <w:t xml:space="preserve"> Appropriation Act may be processed when that act becomes law.</w:t>
      </w:r>
    </w:p>
    <w:p w:rsidR="003C3CC9" w:rsidRPr="003C3CC9" w:rsidRDefault="003C3CC9" w:rsidP="003C3CC9">
      <w:pPr>
        <w:pStyle w:val="BodyTextIndent"/>
        <w:spacing w:after="0"/>
        <w:ind w:firstLine="0"/>
        <w:rPr>
          <w:rFonts w:ascii="Calibri" w:hAnsi="Calibri"/>
          <w:szCs w:val="24"/>
        </w:rPr>
      </w:pPr>
    </w:p>
    <w:p w:rsidR="003C3CC9" w:rsidRPr="003C3CC9" w:rsidRDefault="003C3CC9" w:rsidP="003C3CC9">
      <w:pPr>
        <w:pStyle w:val="BodyTextIndent"/>
        <w:spacing w:after="0"/>
        <w:ind w:firstLine="0"/>
        <w:rPr>
          <w:rFonts w:ascii="Calibri" w:hAnsi="Calibri"/>
          <w:szCs w:val="24"/>
        </w:rPr>
      </w:pPr>
      <w:proofErr w:type="gramStart"/>
      <w:r w:rsidRPr="003C3CC9">
        <w:rPr>
          <w:rFonts w:ascii="Calibri" w:hAnsi="Calibri"/>
          <w:b/>
          <w:bCs/>
          <w:i/>
          <w:iCs/>
          <w:szCs w:val="24"/>
        </w:rPr>
        <w:t>Allotment of Project Appropriation</w:t>
      </w:r>
      <w:r w:rsidRPr="003C3CC9">
        <w:rPr>
          <w:rFonts w:ascii="Calibri" w:hAnsi="Calibri"/>
          <w:b/>
          <w:szCs w:val="24"/>
        </w:rPr>
        <w:t>.</w:t>
      </w:r>
      <w:proofErr w:type="gramEnd"/>
      <w:r w:rsidRPr="003C3CC9">
        <w:rPr>
          <w:rFonts w:ascii="Calibri" w:hAnsi="Calibri"/>
          <w:szCs w:val="24"/>
        </w:rPr>
        <w:t xml:space="preserve">  After receipt of an approved CO-2 or HECO, a budget execution adjustment can be submitted to DPB to allot enough funds to complete working drawings (usually 75 percent of the amount budgeted for architectural and engineering fees in the approved CO-2or HECO).  Use adjustment type “L” and distribute the allotment to valid expenditure subobject codes.</w:t>
      </w:r>
    </w:p>
    <w:p w:rsidR="003C3CC9" w:rsidRPr="003C3CC9" w:rsidRDefault="003C3CC9" w:rsidP="003C3CC9">
      <w:pPr>
        <w:pStyle w:val="BodyTextIndent"/>
        <w:spacing w:after="0"/>
        <w:ind w:firstLine="0"/>
        <w:rPr>
          <w:rFonts w:ascii="Calibri" w:hAnsi="Calibri"/>
          <w:szCs w:val="24"/>
        </w:rPr>
      </w:pPr>
    </w:p>
    <w:p w:rsidR="003C3CC9" w:rsidRPr="003C3CC9" w:rsidRDefault="003C3CC9" w:rsidP="003C3CC9">
      <w:pPr>
        <w:pStyle w:val="BodyTextIndent"/>
        <w:spacing w:after="0"/>
        <w:ind w:firstLine="0"/>
        <w:rPr>
          <w:rFonts w:ascii="Calibri" w:hAnsi="Calibri"/>
          <w:szCs w:val="24"/>
        </w:rPr>
      </w:pPr>
      <w:r w:rsidRPr="003C3CC9">
        <w:rPr>
          <w:rFonts w:ascii="Calibri" w:hAnsi="Calibri"/>
          <w:szCs w:val="24"/>
        </w:rPr>
        <w:t>After the construction bid has been received, and an E&amp;B Form CO-8 has been submitted to DGS, an agency must submit a budget execution adjustment to DPB to allot construction funds.  DPB will allot up to the bid amount for construction and equipment, an amount for project contingencies (until further notice, this is no more than two percent of the construction contract for new construction or renovations over $1 million or five percent for renovations under $1 million), estimated amounts for testing, inspecting, or project management services, and the balance of the architectural and engineering contract.</w:t>
      </w:r>
    </w:p>
    <w:p w:rsidR="003C3CC9" w:rsidRPr="003C3CC9" w:rsidRDefault="003C3CC9" w:rsidP="003C3CC9">
      <w:pPr>
        <w:pStyle w:val="BodyTextIndent"/>
        <w:spacing w:after="0"/>
        <w:ind w:firstLine="0"/>
        <w:rPr>
          <w:rFonts w:ascii="Calibri" w:hAnsi="Calibri"/>
          <w:szCs w:val="24"/>
        </w:rPr>
      </w:pPr>
    </w:p>
    <w:p w:rsidR="003C3CC9" w:rsidRPr="003C3CC9" w:rsidRDefault="003C3CC9" w:rsidP="003C3CC9">
      <w:pPr>
        <w:pStyle w:val="BodyTextIndent"/>
        <w:spacing w:after="0"/>
        <w:ind w:firstLine="0"/>
        <w:rPr>
          <w:rFonts w:ascii="Calibri" w:hAnsi="Calibri"/>
          <w:szCs w:val="24"/>
        </w:rPr>
      </w:pPr>
      <w:r w:rsidRPr="003C3CC9">
        <w:rPr>
          <w:rFonts w:ascii="Calibri" w:hAnsi="Calibri"/>
          <w:szCs w:val="24"/>
        </w:rPr>
        <w:t>If project construction and equipment costs are anticipated to exceed the allotted amounts, the agency must submit a revised CO-2 or HECO to DGS and a budget execution adjustment to DPB to access the remaining appropriated funds.  The transaction brief must provide sufficient information to describe and justify the need for additional dollars to be allotted.</w:t>
      </w:r>
    </w:p>
    <w:p w:rsidR="003C3CC9" w:rsidRPr="003C3CC9" w:rsidRDefault="003C3CC9" w:rsidP="003C3CC9">
      <w:pPr>
        <w:pStyle w:val="BodyTextIndent"/>
        <w:spacing w:after="0"/>
        <w:ind w:firstLine="0"/>
        <w:rPr>
          <w:rFonts w:ascii="Calibri" w:hAnsi="Calibri"/>
          <w:szCs w:val="24"/>
        </w:rPr>
      </w:pPr>
    </w:p>
    <w:p w:rsidR="003C3CC9" w:rsidRPr="001820E9" w:rsidRDefault="003C3CC9" w:rsidP="001820E9">
      <w:pPr>
        <w:pStyle w:val="HelpTopic"/>
      </w:pPr>
      <w:r w:rsidRPr="001820E9">
        <w:lastRenderedPageBreak/>
        <w:t>Central Capital Pool Projects</w:t>
      </w:r>
    </w:p>
    <w:p w:rsidR="003C3CC9" w:rsidRPr="003C3CC9" w:rsidRDefault="003C3CC9" w:rsidP="003C3CC9">
      <w:pPr>
        <w:pStyle w:val="BodyTextIndent"/>
        <w:spacing w:after="0"/>
        <w:ind w:firstLine="0"/>
        <w:rPr>
          <w:rFonts w:ascii="Calibri" w:hAnsi="Calibri"/>
          <w:szCs w:val="24"/>
        </w:rPr>
      </w:pPr>
      <w:r w:rsidRPr="003C3CC9">
        <w:rPr>
          <w:rFonts w:ascii="Calibri" w:hAnsi="Calibri"/>
          <w:szCs w:val="24"/>
        </w:rPr>
        <w:t>For those new projects included in a new central cap</w:t>
      </w:r>
      <w:r w:rsidR="009C2ACE">
        <w:rPr>
          <w:rFonts w:ascii="Calibri" w:hAnsi="Calibri"/>
          <w:szCs w:val="24"/>
        </w:rPr>
        <w:t>ital pool authorized in the 2014</w:t>
      </w:r>
      <w:r w:rsidRPr="003C3CC9">
        <w:rPr>
          <w:rFonts w:ascii="Calibri" w:hAnsi="Calibri"/>
          <w:szCs w:val="24"/>
        </w:rPr>
        <w:t xml:space="preserve"> Appropriation Act, DPB will assign project codes, as needed.  DPB will transfer funding for detailed planning, construction, and equipment from the central capital pool projects to individual projects only after the Bureau of Capital Outlay Management (BCOM) has reviewed and approved the amounts requested.  Agencies should contact BCOM for instructions on what is required for detailed planning or full construction funding.</w:t>
      </w:r>
    </w:p>
    <w:p w:rsidR="003C3CC9" w:rsidRPr="003C3CC9" w:rsidRDefault="003C3CC9" w:rsidP="003C3CC9">
      <w:pPr>
        <w:pStyle w:val="BodyTextIndent"/>
        <w:spacing w:after="0"/>
        <w:ind w:firstLine="0"/>
        <w:rPr>
          <w:rFonts w:ascii="Calibri" w:hAnsi="Calibri"/>
          <w:szCs w:val="24"/>
        </w:rPr>
      </w:pPr>
    </w:p>
    <w:p w:rsidR="003C3CC9" w:rsidRPr="001820E9" w:rsidRDefault="003C3CC9" w:rsidP="001820E9">
      <w:pPr>
        <w:pStyle w:val="HelpTopic"/>
      </w:pPr>
      <w:r w:rsidRPr="001820E9">
        <w:t>201</w:t>
      </w:r>
      <w:r w:rsidR="00B74EA5" w:rsidRPr="001820E9">
        <w:t>4</w:t>
      </w:r>
      <w:r w:rsidRPr="001820E9">
        <w:t>-201</w:t>
      </w:r>
      <w:r w:rsidR="00B74EA5" w:rsidRPr="001820E9">
        <w:t>6</w:t>
      </w:r>
      <w:r w:rsidRPr="001820E9">
        <w:t xml:space="preserve"> Maintenance Reserve Appropriations</w:t>
      </w:r>
    </w:p>
    <w:p w:rsidR="003C3CC9" w:rsidRPr="003C3CC9" w:rsidRDefault="003C3CC9" w:rsidP="003C3CC9">
      <w:pPr>
        <w:ind w:left="0"/>
        <w:rPr>
          <w:rFonts w:ascii="Calibri" w:hAnsi="Calibri"/>
          <w:szCs w:val="24"/>
        </w:rPr>
      </w:pPr>
      <w:r w:rsidRPr="003C3CC9">
        <w:rPr>
          <w:rFonts w:ascii="Calibri" w:hAnsi="Calibri"/>
          <w:szCs w:val="24"/>
        </w:rPr>
        <w:t>Agencies’ FY 201</w:t>
      </w:r>
      <w:r w:rsidR="00B74EA5">
        <w:rPr>
          <w:rFonts w:ascii="Calibri" w:hAnsi="Calibri"/>
          <w:szCs w:val="24"/>
        </w:rPr>
        <w:t>5</w:t>
      </w:r>
      <w:r w:rsidRPr="003C3CC9">
        <w:rPr>
          <w:rFonts w:ascii="Calibri" w:hAnsi="Calibri"/>
          <w:szCs w:val="24"/>
        </w:rPr>
        <w:t xml:space="preserve"> allocations for maintenance reserve will be transferred from the Central Accounts maintenance reserve project to individual agency maintenance reserve project codes </w:t>
      </w:r>
      <w:r w:rsidR="009C2ACE">
        <w:rPr>
          <w:rFonts w:ascii="Calibri" w:hAnsi="Calibri"/>
          <w:szCs w:val="24"/>
        </w:rPr>
        <w:t>as soon after</w:t>
      </w:r>
      <w:r w:rsidRPr="003C3CC9">
        <w:rPr>
          <w:rFonts w:ascii="Calibri" w:hAnsi="Calibri"/>
          <w:szCs w:val="24"/>
        </w:rPr>
        <w:t xml:space="preserve"> July 1, 201</w:t>
      </w:r>
      <w:r w:rsidR="00B74EA5">
        <w:rPr>
          <w:rFonts w:ascii="Calibri" w:hAnsi="Calibri"/>
          <w:szCs w:val="24"/>
        </w:rPr>
        <w:t>4</w:t>
      </w:r>
      <w:r w:rsidR="009C2ACE">
        <w:rPr>
          <w:rFonts w:ascii="Calibri" w:hAnsi="Calibri"/>
          <w:szCs w:val="24"/>
        </w:rPr>
        <w:t xml:space="preserve"> as is feasible</w:t>
      </w:r>
      <w:r w:rsidRPr="003C3CC9">
        <w:rPr>
          <w:rFonts w:ascii="Calibri" w:hAnsi="Calibri"/>
          <w:szCs w:val="24"/>
        </w:rPr>
        <w:t xml:space="preserve">.  </w:t>
      </w:r>
      <w:r w:rsidRPr="003C3CC9">
        <w:rPr>
          <w:rFonts w:ascii="Calibri" w:hAnsi="Calibri"/>
          <w:b/>
          <w:szCs w:val="24"/>
        </w:rPr>
        <w:t>Agencies do not need to submit CO-2 or HECO forms for maintenance reserve projects.</w:t>
      </w:r>
    </w:p>
    <w:p w:rsidR="003C3CC9" w:rsidRPr="003C3CC9" w:rsidRDefault="003C3CC9" w:rsidP="003C3CC9">
      <w:pPr>
        <w:ind w:left="0"/>
        <w:rPr>
          <w:rFonts w:ascii="Calibri" w:hAnsi="Calibri"/>
          <w:szCs w:val="24"/>
        </w:rPr>
      </w:pPr>
    </w:p>
    <w:p w:rsidR="003C3CC9" w:rsidRPr="001820E9" w:rsidRDefault="003C3CC9" w:rsidP="001820E9">
      <w:pPr>
        <w:pStyle w:val="HelpTopic"/>
      </w:pPr>
      <w:r w:rsidRPr="001820E9">
        <w:t>Re-establishment of Closed Out Capital Outlay Projects and Restoring Reverted Appropriations</w:t>
      </w:r>
    </w:p>
    <w:p w:rsidR="003C3CC9" w:rsidRPr="003C3CC9" w:rsidRDefault="003C3CC9" w:rsidP="003C3CC9">
      <w:pPr>
        <w:pStyle w:val="BodyTextIndent"/>
        <w:keepNext/>
        <w:spacing w:after="0"/>
        <w:ind w:firstLine="0"/>
        <w:rPr>
          <w:rFonts w:ascii="Calibri" w:hAnsi="Calibri"/>
          <w:b/>
          <w:bCs/>
          <w:i/>
          <w:iCs/>
          <w:szCs w:val="24"/>
        </w:rPr>
      </w:pPr>
      <w:r w:rsidRPr="003C3CC9">
        <w:rPr>
          <w:rFonts w:ascii="Calibri" w:hAnsi="Calibri"/>
          <w:szCs w:val="24"/>
        </w:rPr>
        <w:t>Occasionally, after a project is closed out or an unexpended balance is reverted, an agency may discover that an unpaid obligation or requirement for the project exists.  Because of these situations, there is language in §4-1.05.c.3 of the General Provisions of the 201</w:t>
      </w:r>
      <w:r w:rsidR="00B74EA5">
        <w:rPr>
          <w:rFonts w:ascii="Calibri" w:hAnsi="Calibri"/>
          <w:szCs w:val="24"/>
        </w:rPr>
        <w:t>4</w:t>
      </w:r>
      <w:r w:rsidRPr="003C3CC9">
        <w:rPr>
          <w:rFonts w:ascii="Calibri" w:hAnsi="Calibri"/>
          <w:szCs w:val="24"/>
        </w:rPr>
        <w:t xml:space="preserve"> Appropriation Act authorizing the DPB Director to restore reverted capital project balances and re-establish closed-out projects.  </w:t>
      </w:r>
      <w:r w:rsidRPr="003C3CC9">
        <w:rPr>
          <w:rFonts w:ascii="Calibri" w:hAnsi="Calibri"/>
          <w:b/>
          <w:bCs/>
          <w:i/>
          <w:iCs/>
          <w:szCs w:val="24"/>
        </w:rPr>
        <w:t>Restoration authorization is limited to reversions that occurred in the current biennium or the prior biennium.</w:t>
      </w:r>
    </w:p>
    <w:p w:rsidR="003C3CC9" w:rsidRPr="003C3CC9" w:rsidRDefault="003C3CC9" w:rsidP="003C3CC9">
      <w:pPr>
        <w:pStyle w:val="BodyTextIndent"/>
        <w:spacing w:after="0"/>
        <w:ind w:firstLine="0"/>
        <w:rPr>
          <w:rFonts w:ascii="Calibri" w:hAnsi="Calibri"/>
          <w:szCs w:val="24"/>
        </w:rPr>
      </w:pPr>
    </w:p>
    <w:p w:rsidR="003C3CC9" w:rsidRPr="003C3CC9" w:rsidRDefault="003C3CC9" w:rsidP="003C3CC9">
      <w:pPr>
        <w:pStyle w:val="BodyTextIndent"/>
        <w:spacing w:after="0"/>
        <w:ind w:firstLine="0"/>
        <w:rPr>
          <w:rFonts w:ascii="Calibri" w:hAnsi="Calibri"/>
          <w:szCs w:val="24"/>
        </w:rPr>
      </w:pPr>
      <w:r w:rsidRPr="003C3CC9">
        <w:rPr>
          <w:rFonts w:ascii="Calibri" w:hAnsi="Calibri"/>
          <w:szCs w:val="24"/>
        </w:rPr>
        <w:t>In some instances, there are no unexpended balances in the closed out project to be restored, and funds must come from another source to meet the unpaid obligation.  In these situations, the project would be re-established under the authority of §4-1.05.c.3.  However, because the project's fund source would be obtained through a transfer of appropriations or through additional nongeneral fund revenue, other sections of the General Provisions must be satisfied as well.  Section 4-1.03 authorizes the transfer of appropriations and §4-1.04 authorizes the appropriation of unappropriated nongeneral funds.</w:t>
      </w:r>
    </w:p>
    <w:p w:rsidR="003C3CC9" w:rsidRPr="003C3CC9" w:rsidRDefault="003C3CC9" w:rsidP="003C3CC9">
      <w:pPr>
        <w:pStyle w:val="BodyTextIndent"/>
        <w:spacing w:after="0"/>
        <w:ind w:firstLine="0"/>
        <w:rPr>
          <w:rFonts w:ascii="Calibri" w:hAnsi="Calibri"/>
          <w:szCs w:val="24"/>
        </w:rPr>
      </w:pPr>
    </w:p>
    <w:p w:rsidR="003C3CC9" w:rsidRPr="003C3CC9" w:rsidRDefault="003C3CC9" w:rsidP="003C3CC9">
      <w:pPr>
        <w:pStyle w:val="BodyTextIndent"/>
        <w:spacing w:after="0"/>
        <w:ind w:firstLine="0"/>
        <w:rPr>
          <w:rFonts w:ascii="Calibri" w:hAnsi="Calibri"/>
          <w:szCs w:val="24"/>
        </w:rPr>
      </w:pPr>
      <w:r w:rsidRPr="003C3CC9">
        <w:rPr>
          <w:rFonts w:ascii="Calibri" w:hAnsi="Calibri"/>
          <w:szCs w:val="24"/>
        </w:rPr>
        <w:t>To request the re-establishment of a closed capital outlay project and the restoration of project funding, the agency must submit a written request to the DPB Director.  The request must describe circumstances that led to the need to restore the project and identify the source of money to be restored to the project.  The funding sources may include reverted balances, transfers, and additional revenue.</w:t>
      </w:r>
    </w:p>
    <w:p w:rsidR="003C3CC9" w:rsidRPr="003C3CC9" w:rsidRDefault="003C3CC9" w:rsidP="003C3CC9">
      <w:pPr>
        <w:pStyle w:val="BodyTextIndent"/>
        <w:spacing w:after="0"/>
        <w:ind w:firstLine="0"/>
        <w:rPr>
          <w:rFonts w:ascii="Calibri" w:hAnsi="Calibri"/>
          <w:szCs w:val="24"/>
        </w:rPr>
      </w:pPr>
    </w:p>
    <w:p w:rsidR="00BD5A46" w:rsidRDefault="00BD5A46">
      <w:pPr>
        <w:tabs>
          <w:tab w:val="clear" w:pos="360"/>
        </w:tabs>
        <w:spacing w:after="0"/>
        <w:ind w:left="0"/>
        <w:rPr>
          <w:rFonts w:ascii="Calibri" w:hAnsi="Calibri"/>
          <w:b/>
          <w:bCs/>
          <w:color w:val="4F81BD"/>
          <w:sz w:val="36"/>
          <w:szCs w:val="36"/>
        </w:rPr>
      </w:pPr>
      <w:r>
        <w:br w:type="page"/>
      </w:r>
    </w:p>
    <w:p w:rsidR="003C3CC9" w:rsidRPr="001820E9" w:rsidRDefault="003C3CC9" w:rsidP="001820E9">
      <w:pPr>
        <w:pStyle w:val="HelpTopic"/>
      </w:pPr>
      <w:r w:rsidRPr="001820E9">
        <w:lastRenderedPageBreak/>
        <w:t>Coding of Subprojects</w:t>
      </w:r>
    </w:p>
    <w:p w:rsidR="003C3CC9" w:rsidRPr="003C3CC9" w:rsidRDefault="003C3CC9" w:rsidP="003C3CC9">
      <w:pPr>
        <w:tabs>
          <w:tab w:val="clear" w:pos="360"/>
          <w:tab w:val="left" w:pos="720"/>
        </w:tabs>
        <w:autoSpaceDE w:val="0"/>
        <w:autoSpaceDN w:val="0"/>
        <w:adjustRightInd w:val="0"/>
        <w:spacing w:after="0"/>
        <w:ind w:left="0"/>
        <w:rPr>
          <w:rFonts w:ascii="Calibri" w:hAnsi="Calibri"/>
          <w:szCs w:val="24"/>
        </w:rPr>
      </w:pPr>
      <w:r w:rsidRPr="003C3CC9">
        <w:rPr>
          <w:rFonts w:ascii="Calibri" w:hAnsi="Calibri"/>
          <w:szCs w:val="24"/>
        </w:rPr>
        <w:t>DPB is developing reports for the PB System that will enable agencies to display the entire appropriation and expenditure history of a capital project, including subprojects, in one report and to track capital appropriations and expenditures from various perspectives, such as by facility and by infrastructure, including subproject data. However, the reports will be able to display subproject data only if agencies have assigned cost codes to capital subprojects in CARS.  Therefore, agencies are strongly encouraged to assign a CARS cost code to each capital subproject and to use those cost codes to record expenditures for subprojects in CARS.</w:t>
      </w:r>
    </w:p>
    <w:p w:rsidR="009C2ACE" w:rsidRDefault="009C2ACE" w:rsidP="009C2ACE">
      <w:pPr>
        <w:tabs>
          <w:tab w:val="clear" w:pos="360"/>
          <w:tab w:val="left" w:pos="720"/>
        </w:tabs>
        <w:autoSpaceDE w:val="0"/>
        <w:autoSpaceDN w:val="0"/>
        <w:adjustRightInd w:val="0"/>
        <w:spacing w:after="0"/>
        <w:ind w:left="0"/>
        <w:rPr>
          <w:rFonts w:ascii="Calibri" w:hAnsi="Calibri"/>
          <w:szCs w:val="24"/>
        </w:rPr>
      </w:pPr>
    </w:p>
    <w:p w:rsidR="009C2ACE" w:rsidRDefault="009C2ACE" w:rsidP="009C2ACE">
      <w:pPr>
        <w:pStyle w:val="HelpTopic"/>
      </w:pPr>
      <w:r w:rsidRPr="006F5B36">
        <w:t>Maintenance Reserve Reporting</w:t>
      </w:r>
    </w:p>
    <w:p w:rsidR="009C2ACE" w:rsidRDefault="009C2ACE" w:rsidP="009C2ACE">
      <w:pPr>
        <w:pStyle w:val="BodyTextIndent"/>
        <w:spacing w:after="0"/>
        <w:ind w:firstLine="0"/>
        <w:rPr>
          <w:rFonts w:ascii="Calibri" w:hAnsi="Calibri"/>
          <w:szCs w:val="24"/>
        </w:rPr>
      </w:pPr>
    </w:p>
    <w:p w:rsidR="009C2ACE" w:rsidRDefault="009C2ACE" w:rsidP="009C2ACE">
      <w:pPr>
        <w:tabs>
          <w:tab w:val="clear" w:pos="360"/>
          <w:tab w:val="left" w:pos="0"/>
          <w:tab w:val="left" w:pos="540"/>
        </w:tabs>
        <w:ind w:left="0"/>
      </w:pPr>
      <w:r>
        <w:rPr>
          <w:rFonts w:ascii="Calibri" w:hAnsi="Calibri"/>
          <w:szCs w:val="24"/>
        </w:rPr>
        <w:t xml:space="preserve">Separate instructions will be issued later regarding the reporting of maintenance reserve expenditures.  </w:t>
      </w:r>
      <w:r>
        <w:t>Each agency and institution will be required to submit a detailed report on its expenditure of maintenance reserve funds in FY 2014.  Although the final format and instructions have not been finalized, it is likely that the following data fields will be required for each project completed during FY 2014:</w:t>
      </w:r>
    </w:p>
    <w:p w:rsidR="009C2ACE" w:rsidRDefault="009C2ACE" w:rsidP="009C2ACE">
      <w:pPr>
        <w:tabs>
          <w:tab w:val="clear" w:pos="360"/>
          <w:tab w:val="left" w:pos="0"/>
          <w:tab w:val="left" w:pos="540"/>
        </w:tabs>
        <w:ind w:left="0"/>
      </w:pPr>
    </w:p>
    <w:p w:rsidR="009C2ACE" w:rsidRDefault="009C2ACE" w:rsidP="009C2ACE">
      <w:pPr>
        <w:pStyle w:val="ListParagraph"/>
        <w:numPr>
          <w:ilvl w:val="0"/>
          <w:numId w:val="16"/>
        </w:numPr>
      </w:pPr>
      <w:r>
        <w:t>Agency code</w:t>
      </w:r>
    </w:p>
    <w:p w:rsidR="009C2ACE" w:rsidRDefault="009C2ACE" w:rsidP="009C2ACE">
      <w:pPr>
        <w:pStyle w:val="ListParagraph"/>
        <w:numPr>
          <w:ilvl w:val="0"/>
          <w:numId w:val="16"/>
        </w:numPr>
      </w:pPr>
      <w:r>
        <w:t>Agency name</w:t>
      </w:r>
    </w:p>
    <w:p w:rsidR="009C2ACE" w:rsidRDefault="009C2ACE" w:rsidP="009C2ACE">
      <w:pPr>
        <w:pStyle w:val="ListParagraph"/>
        <w:numPr>
          <w:ilvl w:val="0"/>
          <w:numId w:val="16"/>
        </w:numPr>
      </w:pPr>
      <w:r>
        <w:t>Subproject title</w:t>
      </w:r>
    </w:p>
    <w:p w:rsidR="009C2ACE" w:rsidRDefault="009C2ACE" w:rsidP="009C2ACE">
      <w:pPr>
        <w:pStyle w:val="ListParagraph"/>
        <w:numPr>
          <w:ilvl w:val="0"/>
          <w:numId w:val="16"/>
        </w:numPr>
      </w:pPr>
      <w:r>
        <w:t>Facility</w:t>
      </w:r>
    </w:p>
    <w:p w:rsidR="009C2ACE" w:rsidRDefault="009C2ACE" w:rsidP="009C2ACE">
      <w:pPr>
        <w:pStyle w:val="ListParagraph"/>
        <w:numPr>
          <w:ilvl w:val="0"/>
          <w:numId w:val="16"/>
        </w:numPr>
      </w:pPr>
      <w:r>
        <w:t>Infrastructure element</w:t>
      </w:r>
    </w:p>
    <w:p w:rsidR="009C2ACE" w:rsidRDefault="009C2ACE" w:rsidP="009C2ACE">
      <w:pPr>
        <w:pStyle w:val="ListParagraph"/>
        <w:numPr>
          <w:ilvl w:val="0"/>
          <w:numId w:val="16"/>
        </w:numPr>
      </w:pPr>
      <w:r>
        <w:t>Total cost</w:t>
      </w:r>
    </w:p>
    <w:p w:rsidR="009C2ACE" w:rsidRDefault="009C2ACE" w:rsidP="009C2ACE">
      <w:pPr>
        <w:pStyle w:val="ListParagraph"/>
        <w:numPr>
          <w:ilvl w:val="0"/>
          <w:numId w:val="16"/>
        </w:numPr>
      </w:pPr>
      <w:r>
        <w:t>Expenditure (GF or tax-supported bond)</w:t>
      </w:r>
    </w:p>
    <w:p w:rsidR="009C2ACE" w:rsidRDefault="009C2ACE" w:rsidP="009C2ACE">
      <w:pPr>
        <w:pStyle w:val="ListParagraph"/>
        <w:numPr>
          <w:ilvl w:val="0"/>
          <w:numId w:val="16"/>
        </w:numPr>
      </w:pPr>
      <w:r>
        <w:t>Expenditure (Other NGF)</w:t>
      </w:r>
    </w:p>
    <w:p w:rsidR="009C2ACE" w:rsidRDefault="009C2ACE" w:rsidP="009C2ACE">
      <w:pPr>
        <w:pStyle w:val="ListParagraph"/>
        <w:numPr>
          <w:ilvl w:val="0"/>
          <w:numId w:val="16"/>
        </w:numPr>
      </w:pPr>
      <w:r>
        <w:t>Fiscal year completed</w:t>
      </w:r>
    </w:p>
    <w:p w:rsidR="009C2ACE" w:rsidRDefault="009C2ACE" w:rsidP="009C2ACE">
      <w:pPr>
        <w:pStyle w:val="ListParagraph"/>
      </w:pPr>
    </w:p>
    <w:p w:rsidR="009C2ACE" w:rsidRPr="003C3CC9" w:rsidRDefault="009C2ACE" w:rsidP="009C2ACE">
      <w:pPr>
        <w:pStyle w:val="BodyTextIndent"/>
        <w:spacing w:after="0"/>
        <w:ind w:firstLine="0"/>
        <w:rPr>
          <w:rFonts w:ascii="Calibri" w:hAnsi="Calibri"/>
          <w:szCs w:val="24"/>
        </w:rPr>
      </w:pPr>
      <w:r>
        <w:t>In addition, the agency head, chief fiscal officer, or administrative officer of each agency will be required to certify that all maintenance reserve expenditures had been made in compliance with these instructions and that any exceptions were appropriately authorized.  The certification shall also include assurance that all needed roof repair and replacement projects had been completed or were underway, consistent with Appropriation Act requirements.</w:t>
      </w:r>
    </w:p>
    <w:p w:rsidR="00C815AE" w:rsidRPr="00DA13A6" w:rsidRDefault="005A3E47" w:rsidP="00DA13A6">
      <w:pPr>
        <w:spacing w:after="0"/>
        <w:ind w:left="0"/>
        <w:jc w:val="center"/>
        <w:rPr>
          <w:rFonts w:ascii="Calibri" w:hAnsi="Calibri" w:cs="Arial"/>
          <w:b/>
          <w:i/>
          <w:sz w:val="36"/>
          <w:szCs w:val="36"/>
        </w:rPr>
      </w:pPr>
      <w:r w:rsidRPr="0093655C">
        <w:br w:type="page"/>
      </w:r>
      <w:bookmarkStart w:id="20" w:name="_Toc101848194"/>
      <w:bookmarkStart w:id="21" w:name="_Toc102895223"/>
      <w:r w:rsidR="00C815AE" w:rsidRPr="00DA13A6">
        <w:rPr>
          <w:rFonts w:ascii="Calibri" w:hAnsi="Calibri" w:cs="Arial"/>
          <w:b/>
          <w:i/>
          <w:sz w:val="36"/>
          <w:szCs w:val="36"/>
        </w:rPr>
        <w:lastRenderedPageBreak/>
        <w:t>Appendix A</w:t>
      </w:r>
    </w:p>
    <w:p w:rsidR="00C815AE" w:rsidRPr="00005E7B" w:rsidRDefault="00C815AE" w:rsidP="00C815AE">
      <w:pPr>
        <w:spacing w:after="0"/>
        <w:ind w:left="0"/>
        <w:jc w:val="center"/>
        <w:rPr>
          <w:rFonts w:ascii="Cambria" w:hAnsi="Cambria" w:cs="Arial"/>
          <w:b/>
          <w:sz w:val="36"/>
          <w:szCs w:val="36"/>
        </w:rPr>
      </w:pPr>
    </w:p>
    <w:p w:rsidR="00C815AE" w:rsidRPr="00005E7B" w:rsidRDefault="00337D34" w:rsidP="00C815AE">
      <w:pPr>
        <w:spacing w:after="0"/>
        <w:ind w:left="0"/>
        <w:jc w:val="center"/>
        <w:rPr>
          <w:rFonts w:ascii="Cambria" w:hAnsi="Cambria" w:cs="Arial"/>
          <w:b/>
          <w:sz w:val="36"/>
          <w:szCs w:val="36"/>
        </w:rPr>
      </w:pPr>
      <w:r w:rsidRPr="00337D34">
        <w:rPr>
          <w:rFonts w:ascii="Cambria" w:hAnsi="Cambria" w:cs="Arial"/>
          <w:b/>
          <w:sz w:val="36"/>
          <w:szCs w:val="36"/>
        </w:rPr>
        <w:t>Deficit Provision Acknowledgment Form</w:t>
      </w:r>
    </w:p>
    <w:p w:rsidR="00C815AE" w:rsidRPr="00101162" w:rsidRDefault="00C815AE" w:rsidP="00C815AE">
      <w:pPr>
        <w:spacing w:after="0"/>
        <w:ind w:left="0" w:right="720"/>
        <w:jc w:val="center"/>
        <w:rPr>
          <w:rFonts w:ascii="Calibri" w:hAnsi="Calibri" w:cs="Arial"/>
          <w:b/>
          <w:sz w:val="36"/>
          <w:szCs w:val="36"/>
        </w:rPr>
      </w:pPr>
    </w:p>
    <w:p w:rsidR="00C815AE" w:rsidRPr="00101162" w:rsidRDefault="00C815AE" w:rsidP="00C815AE">
      <w:pPr>
        <w:tabs>
          <w:tab w:val="left" w:pos="720"/>
          <w:tab w:val="left" w:pos="1080"/>
        </w:tabs>
        <w:rPr>
          <w:rFonts w:ascii="Calibri" w:hAnsi="Calibri" w:cs="Arial"/>
          <w:sz w:val="16"/>
          <w:szCs w:val="16"/>
        </w:rPr>
      </w:pPr>
    </w:p>
    <w:p w:rsidR="00C815AE" w:rsidRPr="00101162" w:rsidRDefault="00C815AE" w:rsidP="00C815AE">
      <w:pPr>
        <w:tabs>
          <w:tab w:val="left" w:pos="720"/>
          <w:tab w:val="left" w:pos="1080"/>
        </w:tabs>
        <w:rPr>
          <w:rFonts w:ascii="Calibri" w:hAnsi="Calibri"/>
        </w:rPr>
      </w:pPr>
      <w:r w:rsidRPr="00101162">
        <w:rPr>
          <w:rFonts w:ascii="Calibri" w:hAnsi="Calibri"/>
        </w:rPr>
        <w:t>To:</w:t>
      </w:r>
      <w:r w:rsidRPr="00101162">
        <w:rPr>
          <w:rFonts w:ascii="Calibri" w:hAnsi="Calibri"/>
        </w:rPr>
        <w:tab/>
      </w:r>
      <w:r w:rsidRPr="00101162">
        <w:rPr>
          <w:rFonts w:ascii="Calibri" w:hAnsi="Calibri"/>
        </w:rPr>
        <w:tab/>
        <w:t xml:space="preserve">Director, Department of Planning and </w:t>
      </w:r>
      <w:smartTag w:uri="urn:schemas-microsoft-com:office:smarttags" w:element="PersonName">
        <w:r w:rsidRPr="00101162">
          <w:rPr>
            <w:rFonts w:ascii="Calibri" w:hAnsi="Calibri"/>
          </w:rPr>
          <w:t>Budget</w:t>
        </w:r>
      </w:smartTag>
    </w:p>
    <w:p w:rsidR="00C815AE" w:rsidRPr="00101162" w:rsidRDefault="00C815AE" w:rsidP="00C815AE">
      <w:pPr>
        <w:pBdr>
          <w:top w:val="single" w:sz="12" w:space="1" w:color="auto"/>
        </w:pBdr>
        <w:tabs>
          <w:tab w:val="clear" w:pos="360"/>
          <w:tab w:val="right" w:leader="underscore" w:pos="3330"/>
        </w:tabs>
        <w:rPr>
          <w:rFonts w:ascii="Calibri" w:hAnsi="Calibri" w:cs="Arial"/>
          <w:sz w:val="10"/>
        </w:rPr>
      </w:pPr>
    </w:p>
    <w:p w:rsidR="00C815AE" w:rsidRPr="00101162" w:rsidRDefault="00C815AE" w:rsidP="00C815AE">
      <w:pPr>
        <w:tabs>
          <w:tab w:val="clear" w:pos="360"/>
          <w:tab w:val="left" w:pos="720"/>
          <w:tab w:val="right" w:leader="underscore" w:pos="3330"/>
        </w:tabs>
        <w:jc w:val="center"/>
        <w:rPr>
          <w:rFonts w:ascii="Calibri" w:hAnsi="Calibri"/>
          <w:b/>
          <w:szCs w:val="24"/>
        </w:rPr>
      </w:pPr>
      <w:r w:rsidRPr="00101162">
        <w:rPr>
          <w:rFonts w:ascii="Calibri" w:hAnsi="Calibri"/>
          <w:b/>
          <w:szCs w:val="24"/>
        </w:rPr>
        <w:t>Section A</w:t>
      </w:r>
    </w:p>
    <w:p w:rsidR="00C815AE" w:rsidRPr="00101162" w:rsidRDefault="00C815AE" w:rsidP="00C815AE">
      <w:pPr>
        <w:tabs>
          <w:tab w:val="left" w:pos="720"/>
          <w:tab w:val="left" w:pos="1080"/>
        </w:tabs>
        <w:rPr>
          <w:rFonts w:ascii="Calibri" w:hAnsi="Calibri"/>
          <w:b/>
          <w:szCs w:val="24"/>
        </w:rPr>
      </w:pPr>
      <w:r w:rsidRPr="00101162">
        <w:rPr>
          <w:rFonts w:ascii="Calibri" w:hAnsi="Calibri"/>
          <w:b/>
          <w:szCs w:val="24"/>
        </w:rPr>
        <w:t>All Agencies</w:t>
      </w:r>
    </w:p>
    <w:p w:rsidR="00C815AE" w:rsidRPr="00101162" w:rsidRDefault="00C815AE" w:rsidP="00C815AE">
      <w:pPr>
        <w:tabs>
          <w:tab w:val="left" w:pos="720"/>
          <w:tab w:val="left" w:pos="1080"/>
        </w:tabs>
        <w:spacing w:after="0"/>
        <w:rPr>
          <w:rFonts w:ascii="Calibri" w:hAnsi="Calibri"/>
          <w:szCs w:val="24"/>
        </w:rPr>
      </w:pPr>
      <w:r w:rsidRPr="00101162">
        <w:rPr>
          <w:rFonts w:ascii="Calibri" w:hAnsi="Calibri"/>
          <w:szCs w:val="24"/>
        </w:rPr>
        <w:t>I have received and read your instructions regarding indebtedness of state agencies.</w:t>
      </w:r>
    </w:p>
    <w:p w:rsidR="00C815AE" w:rsidRPr="00101162" w:rsidRDefault="00C815AE" w:rsidP="00C815AE">
      <w:pPr>
        <w:tabs>
          <w:tab w:val="left" w:pos="720"/>
          <w:tab w:val="left" w:pos="1080"/>
        </w:tabs>
        <w:rPr>
          <w:rFonts w:ascii="Calibri" w:hAnsi="Calibri"/>
          <w:szCs w:val="24"/>
        </w:rPr>
      </w:pPr>
    </w:p>
    <w:p w:rsidR="00C815AE" w:rsidRPr="00101162" w:rsidRDefault="00C815AE" w:rsidP="00C815AE">
      <w:pPr>
        <w:tabs>
          <w:tab w:val="clear" w:pos="360"/>
          <w:tab w:val="right" w:leader="underscore" w:pos="7920"/>
          <w:tab w:val="right" w:leader="underscore" w:pos="9360"/>
        </w:tabs>
        <w:rPr>
          <w:rFonts w:ascii="Calibri" w:hAnsi="Calibri"/>
          <w:szCs w:val="24"/>
        </w:rPr>
      </w:pPr>
      <w:r w:rsidRPr="00101162">
        <w:rPr>
          <w:rFonts w:ascii="Calibri" w:hAnsi="Calibri"/>
          <w:szCs w:val="24"/>
        </w:rPr>
        <w:t>Agency Name</w:t>
      </w:r>
      <w:r w:rsidRPr="00101162">
        <w:rPr>
          <w:rFonts w:ascii="Calibri" w:hAnsi="Calibri"/>
          <w:szCs w:val="24"/>
        </w:rPr>
        <w:tab/>
        <w:t>Agency Code</w:t>
      </w:r>
      <w:r w:rsidRPr="00101162">
        <w:rPr>
          <w:rFonts w:ascii="Calibri" w:hAnsi="Calibri"/>
          <w:szCs w:val="24"/>
        </w:rPr>
        <w:tab/>
      </w:r>
    </w:p>
    <w:p w:rsidR="00C815AE" w:rsidRPr="00101162" w:rsidRDefault="00C815AE" w:rsidP="00C815AE">
      <w:pPr>
        <w:tabs>
          <w:tab w:val="clear" w:pos="360"/>
          <w:tab w:val="right" w:leader="underscore" w:pos="9360"/>
        </w:tabs>
        <w:rPr>
          <w:rFonts w:ascii="Calibri" w:hAnsi="Calibri"/>
          <w:szCs w:val="24"/>
        </w:rPr>
      </w:pPr>
      <w:r w:rsidRPr="00101162">
        <w:rPr>
          <w:rFonts w:ascii="Calibri" w:hAnsi="Calibri"/>
          <w:szCs w:val="24"/>
        </w:rPr>
        <w:t>Cabinet/Agency Head Name</w:t>
      </w:r>
      <w:r w:rsidRPr="00101162">
        <w:rPr>
          <w:rFonts w:ascii="Calibri" w:hAnsi="Calibri"/>
          <w:szCs w:val="24"/>
        </w:rPr>
        <w:tab/>
      </w:r>
    </w:p>
    <w:p w:rsidR="00C815AE" w:rsidRPr="00101162" w:rsidRDefault="00C815AE" w:rsidP="00C815AE">
      <w:pPr>
        <w:tabs>
          <w:tab w:val="clear" w:pos="360"/>
          <w:tab w:val="right" w:leader="underscore" w:pos="9360"/>
        </w:tabs>
        <w:rPr>
          <w:rFonts w:ascii="Calibri" w:hAnsi="Calibri"/>
          <w:szCs w:val="24"/>
        </w:rPr>
      </w:pPr>
      <w:r w:rsidRPr="00101162">
        <w:rPr>
          <w:rFonts w:ascii="Calibri" w:hAnsi="Calibri"/>
          <w:szCs w:val="24"/>
        </w:rPr>
        <w:t>Cabinet/Agency Head Signature</w:t>
      </w:r>
      <w:r w:rsidRPr="00101162">
        <w:rPr>
          <w:rFonts w:ascii="Calibri" w:hAnsi="Calibri"/>
          <w:szCs w:val="24"/>
        </w:rPr>
        <w:tab/>
      </w:r>
    </w:p>
    <w:p w:rsidR="00C815AE" w:rsidRPr="00C815AE" w:rsidRDefault="00C815AE" w:rsidP="00C815AE">
      <w:pPr>
        <w:tabs>
          <w:tab w:val="clear" w:pos="360"/>
          <w:tab w:val="right" w:leader="underscore" w:pos="9360"/>
        </w:tabs>
        <w:ind w:left="3420"/>
        <w:jc w:val="center"/>
        <w:rPr>
          <w:rFonts w:ascii="Calibri" w:hAnsi="Calibri"/>
          <w:i/>
          <w:sz w:val="20"/>
        </w:rPr>
      </w:pPr>
      <w:r w:rsidRPr="00C815AE">
        <w:rPr>
          <w:rFonts w:ascii="Calibri" w:hAnsi="Calibri"/>
          <w:i/>
          <w:sz w:val="20"/>
        </w:rPr>
        <w:t>(Personal signature is required and cannot be delegated)</w:t>
      </w:r>
    </w:p>
    <w:p w:rsidR="00C815AE" w:rsidRPr="00101162" w:rsidRDefault="00C815AE" w:rsidP="00C815AE">
      <w:pPr>
        <w:tabs>
          <w:tab w:val="clear" w:pos="360"/>
          <w:tab w:val="right" w:leader="underscore" w:pos="3330"/>
        </w:tabs>
        <w:rPr>
          <w:rFonts w:ascii="Calibri" w:hAnsi="Calibri"/>
          <w:szCs w:val="24"/>
        </w:rPr>
      </w:pPr>
      <w:r w:rsidRPr="00101162">
        <w:rPr>
          <w:rFonts w:ascii="Calibri" w:hAnsi="Calibri"/>
          <w:szCs w:val="24"/>
        </w:rPr>
        <w:t>Date</w:t>
      </w:r>
      <w:r w:rsidRPr="00101162">
        <w:rPr>
          <w:rFonts w:ascii="Calibri" w:hAnsi="Calibri"/>
          <w:szCs w:val="24"/>
        </w:rPr>
        <w:tab/>
        <w:t>, 201</w:t>
      </w:r>
      <w:r>
        <w:rPr>
          <w:rFonts w:ascii="Calibri" w:hAnsi="Calibri"/>
          <w:szCs w:val="24"/>
        </w:rPr>
        <w:t>4</w:t>
      </w:r>
    </w:p>
    <w:p w:rsidR="00C815AE" w:rsidRPr="00101162" w:rsidRDefault="00C815AE" w:rsidP="00C815AE">
      <w:pPr>
        <w:pBdr>
          <w:top w:val="single" w:sz="12" w:space="1" w:color="auto"/>
        </w:pBdr>
        <w:tabs>
          <w:tab w:val="clear" w:pos="360"/>
          <w:tab w:val="right" w:leader="underscore" w:pos="3330"/>
        </w:tabs>
        <w:rPr>
          <w:rFonts w:ascii="Calibri" w:hAnsi="Calibri"/>
          <w:sz w:val="8"/>
          <w:szCs w:val="8"/>
        </w:rPr>
      </w:pPr>
    </w:p>
    <w:p w:rsidR="00C815AE" w:rsidRPr="00101162" w:rsidRDefault="00C815AE" w:rsidP="00C815AE">
      <w:pPr>
        <w:tabs>
          <w:tab w:val="clear" w:pos="360"/>
          <w:tab w:val="left" w:pos="720"/>
          <w:tab w:val="right" w:leader="underscore" w:pos="3330"/>
        </w:tabs>
        <w:jc w:val="center"/>
        <w:rPr>
          <w:rFonts w:ascii="Calibri" w:hAnsi="Calibri"/>
          <w:b/>
          <w:szCs w:val="24"/>
        </w:rPr>
      </w:pPr>
      <w:r w:rsidRPr="00101162">
        <w:rPr>
          <w:rFonts w:ascii="Calibri" w:hAnsi="Calibri"/>
          <w:b/>
          <w:szCs w:val="24"/>
        </w:rPr>
        <w:t>Section B</w:t>
      </w:r>
    </w:p>
    <w:p w:rsidR="00C815AE" w:rsidRPr="00101162" w:rsidRDefault="00C815AE" w:rsidP="00C815AE">
      <w:pPr>
        <w:tabs>
          <w:tab w:val="clear" w:pos="360"/>
          <w:tab w:val="left" w:pos="720"/>
          <w:tab w:val="right" w:leader="underscore" w:pos="3330"/>
        </w:tabs>
        <w:rPr>
          <w:rFonts w:ascii="Calibri" w:hAnsi="Calibri"/>
          <w:b/>
          <w:szCs w:val="24"/>
        </w:rPr>
      </w:pPr>
      <w:r w:rsidRPr="00101162">
        <w:rPr>
          <w:rFonts w:ascii="Calibri" w:hAnsi="Calibri"/>
          <w:b/>
          <w:szCs w:val="24"/>
        </w:rPr>
        <w:t>Supervisory Board (§2.2-2100 of the Code of Virginia)</w:t>
      </w:r>
    </w:p>
    <w:p w:rsidR="00C815AE" w:rsidRPr="00101162" w:rsidRDefault="00C815AE" w:rsidP="00C815AE">
      <w:pPr>
        <w:tabs>
          <w:tab w:val="clear" w:pos="360"/>
          <w:tab w:val="right" w:leader="underscore" w:pos="3330"/>
        </w:tabs>
        <w:rPr>
          <w:rFonts w:ascii="Calibri" w:hAnsi="Calibri"/>
          <w:szCs w:val="24"/>
        </w:rPr>
      </w:pPr>
      <w:r w:rsidRPr="00101162">
        <w:rPr>
          <w:rFonts w:ascii="Calibri" w:hAnsi="Calibri"/>
          <w:szCs w:val="24"/>
        </w:rPr>
        <w:t>I have provided each member of the board of this agency with a copy of the notice in this memorandum and I will provide the same material to those appointed to the board in the future.</w:t>
      </w:r>
    </w:p>
    <w:p w:rsidR="00C815AE" w:rsidRPr="00101162" w:rsidRDefault="00C815AE" w:rsidP="00C815AE">
      <w:pPr>
        <w:tabs>
          <w:tab w:val="clear" w:pos="360"/>
          <w:tab w:val="right" w:leader="underscore" w:pos="9360"/>
        </w:tabs>
        <w:ind w:left="4320"/>
        <w:rPr>
          <w:rFonts w:ascii="Calibri" w:hAnsi="Calibri"/>
          <w:szCs w:val="24"/>
        </w:rPr>
      </w:pPr>
      <w:r w:rsidRPr="00101162">
        <w:rPr>
          <w:rFonts w:ascii="Calibri" w:hAnsi="Calibri"/>
          <w:szCs w:val="24"/>
        </w:rPr>
        <w:tab/>
      </w:r>
    </w:p>
    <w:p w:rsidR="00C815AE" w:rsidRPr="00C815AE" w:rsidRDefault="00C815AE" w:rsidP="00C815AE">
      <w:pPr>
        <w:tabs>
          <w:tab w:val="clear" w:pos="360"/>
          <w:tab w:val="right" w:leader="underscore" w:pos="9360"/>
        </w:tabs>
        <w:ind w:left="4320"/>
        <w:jc w:val="center"/>
        <w:rPr>
          <w:rFonts w:ascii="Calibri" w:hAnsi="Calibri"/>
          <w:i/>
          <w:sz w:val="20"/>
        </w:rPr>
      </w:pPr>
      <w:r>
        <w:rPr>
          <w:rFonts w:ascii="Calibri" w:hAnsi="Calibri"/>
          <w:i/>
          <w:sz w:val="20"/>
        </w:rPr>
        <w:t>(</w:t>
      </w:r>
      <w:r w:rsidRPr="00C815AE">
        <w:rPr>
          <w:rFonts w:ascii="Calibri" w:hAnsi="Calibri"/>
          <w:i/>
          <w:sz w:val="20"/>
        </w:rPr>
        <w:t>Personal Signature of Agency Head</w:t>
      </w:r>
      <w:r>
        <w:rPr>
          <w:rFonts w:ascii="Calibri" w:hAnsi="Calibri"/>
          <w:i/>
          <w:sz w:val="20"/>
        </w:rPr>
        <w:t>)</w:t>
      </w:r>
    </w:p>
    <w:p w:rsidR="00C815AE" w:rsidRPr="00101162" w:rsidRDefault="00C815AE" w:rsidP="00C815AE">
      <w:pPr>
        <w:tabs>
          <w:tab w:val="clear" w:pos="360"/>
          <w:tab w:val="right" w:leader="underscore" w:pos="9360"/>
        </w:tabs>
        <w:ind w:left="4320"/>
        <w:rPr>
          <w:rFonts w:ascii="Calibri" w:hAnsi="Calibri"/>
          <w:szCs w:val="24"/>
        </w:rPr>
      </w:pPr>
      <w:r w:rsidRPr="00101162">
        <w:rPr>
          <w:rFonts w:ascii="Calibri" w:hAnsi="Calibri"/>
          <w:szCs w:val="24"/>
        </w:rPr>
        <w:t>Date</w:t>
      </w:r>
      <w:proofErr w:type="gramStart"/>
      <w:r w:rsidRPr="00101162">
        <w:rPr>
          <w:rFonts w:ascii="Calibri" w:hAnsi="Calibri"/>
          <w:szCs w:val="24"/>
        </w:rPr>
        <w:t>:</w:t>
      </w:r>
      <w:r w:rsidRPr="00101162">
        <w:rPr>
          <w:rFonts w:ascii="Calibri" w:hAnsi="Calibri"/>
          <w:szCs w:val="24"/>
        </w:rPr>
        <w:tab/>
        <w:t>,</w:t>
      </w:r>
      <w:proofErr w:type="gramEnd"/>
      <w:r w:rsidRPr="00101162">
        <w:rPr>
          <w:rFonts w:ascii="Calibri" w:hAnsi="Calibri"/>
          <w:szCs w:val="24"/>
        </w:rPr>
        <w:t xml:space="preserve"> 201</w:t>
      </w:r>
      <w:r>
        <w:rPr>
          <w:rFonts w:ascii="Calibri" w:hAnsi="Calibri"/>
          <w:szCs w:val="24"/>
        </w:rPr>
        <w:t>4</w:t>
      </w:r>
    </w:p>
    <w:p w:rsidR="00C815AE" w:rsidRPr="00101162" w:rsidRDefault="00C815AE" w:rsidP="00C815AE">
      <w:pPr>
        <w:pBdr>
          <w:top w:val="single" w:sz="12" w:space="1" w:color="auto"/>
        </w:pBdr>
        <w:tabs>
          <w:tab w:val="clear" w:pos="360"/>
          <w:tab w:val="right" w:leader="underscore" w:pos="3330"/>
        </w:tabs>
        <w:rPr>
          <w:rFonts w:ascii="Calibri" w:hAnsi="Calibri"/>
          <w:sz w:val="8"/>
          <w:szCs w:val="8"/>
        </w:rPr>
      </w:pPr>
    </w:p>
    <w:p w:rsidR="00C815AE" w:rsidRPr="00101162" w:rsidRDefault="00C815AE" w:rsidP="00C815AE">
      <w:pPr>
        <w:spacing w:after="0"/>
        <w:ind w:left="720" w:right="720"/>
        <w:rPr>
          <w:rFonts w:ascii="Calibri" w:hAnsi="Calibri"/>
          <w:szCs w:val="24"/>
        </w:rPr>
      </w:pPr>
    </w:p>
    <w:p w:rsidR="00C815AE" w:rsidRDefault="00C815AE" w:rsidP="00C815AE">
      <w:pPr>
        <w:spacing w:after="0"/>
        <w:ind w:right="720"/>
        <w:jc w:val="center"/>
        <w:rPr>
          <w:rFonts w:ascii="Calibri" w:hAnsi="Calibri"/>
          <w:b/>
          <w:i/>
          <w:sz w:val="28"/>
          <w:szCs w:val="28"/>
        </w:rPr>
      </w:pPr>
      <w:r w:rsidRPr="00677978">
        <w:rPr>
          <w:rFonts w:ascii="Calibri" w:hAnsi="Calibri"/>
          <w:b/>
          <w:i/>
          <w:sz w:val="28"/>
          <w:szCs w:val="28"/>
        </w:rPr>
        <w:t xml:space="preserve">Originals only!  </w:t>
      </w:r>
    </w:p>
    <w:p w:rsidR="00C815AE" w:rsidRDefault="00C815AE" w:rsidP="00C815AE">
      <w:pPr>
        <w:spacing w:after="0"/>
        <w:ind w:right="720"/>
        <w:jc w:val="center"/>
        <w:rPr>
          <w:rFonts w:ascii="Calibri" w:hAnsi="Calibri"/>
          <w:b/>
          <w:i/>
          <w:sz w:val="28"/>
          <w:szCs w:val="28"/>
        </w:rPr>
      </w:pPr>
      <w:r w:rsidRPr="00677978">
        <w:rPr>
          <w:rFonts w:ascii="Calibri" w:hAnsi="Calibri"/>
          <w:b/>
          <w:i/>
          <w:sz w:val="28"/>
          <w:szCs w:val="28"/>
        </w:rPr>
        <w:t>Copies, e-mails, or faxes of this form will not be</w:t>
      </w:r>
      <w:r w:rsidRPr="00677978">
        <w:rPr>
          <w:rFonts w:ascii="Calibri" w:hAnsi="Calibri"/>
          <w:b/>
          <w:sz w:val="28"/>
          <w:szCs w:val="28"/>
        </w:rPr>
        <w:t xml:space="preserve"> </w:t>
      </w:r>
      <w:r w:rsidRPr="00677978">
        <w:rPr>
          <w:rFonts w:ascii="Calibri" w:hAnsi="Calibri"/>
          <w:b/>
          <w:i/>
          <w:sz w:val="28"/>
          <w:szCs w:val="28"/>
        </w:rPr>
        <w:t>accepted.</w:t>
      </w:r>
      <w:bookmarkEnd w:id="20"/>
      <w:bookmarkEnd w:id="21"/>
    </w:p>
    <w:p w:rsidR="00C815AE" w:rsidRDefault="00C815AE" w:rsidP="00C815AE">
      <w:pPr>
        <w:spacing w:after="0"/>
        <w:ind w:right="720"/>
        <w:jc w:val="center"/>
        <w:rPr>
          <w:rFonts w:ascii="Calibri" w:hAnsi="Calibri"/>
          <w:b/>
          <w:i/>
          <w:sz w:val="28"/>
          <w:szCs w:val="28"/>
        </w:rPr>
      </w:pPr>
    </w:p>
    <w:p w:rsidR="00C815AE" w:rsidRPr="00C815AE" w:rsidRDefault="009F043A" w:rsidP="00C815AE">
      <w:pPr>
        <w:spacing w:after="0"/>
        <w:ind w:right="720"/>
        <w:jc w:val="center"/>
        <w:rPr>
          <w:rFonts w:ascii="Calibri" w:hAnsi="Calibri"/>
          <w:b/>
          <w:i/>
          <w:szCs w:val="24"/>
        </w:rPr>
      </w:pPr>
      <w:r>
        <w:rPr>
          <w:rFonts w:ascii="Calibri" w:hAnsi="Calibri"/>
          <w:b/>
          <w:i/>
          <w:szCs w:val="24"/>
        </w:rPr>
        <w:t xml:space="preserve">       By August 1, 2014, mail</w:t>
      </w:r>
      <w:r w:rsidR="00C815AE" w:rsidRPr="00C815AE">
        <w:rPr>
          <w:rFonts w:ascii="Calibri" w:hAnsi="Calibri"/>
          <w:b/>
          <w:i/>
          <w:szCs w:val="24"/>
        </w:rPr>
        <w:t xml:space="preserve"> form </w:t>
      </w:r>
      <w:r w:rsidR="00601071">
        <w:rPr>
          <w:rFonts w:ascii="Calibri" w:hAnsi="Calibri"/>
          <w:b/>
          <w:i/>
          <w:szCs w:val="24"/>
        </w:rPr>
        <w:t>to:</w:t>
      </w:r>
    </w:p>
    <w:p w:rsidR="00C815AE" w:rsidRPr="00C815AE" w:rsidRDefault="00337D34" w:rsidP="00C815AE">
      <w:pPr>
        <w:spacing w:after="0"/>
        <w:ind w:left="720" w:right="720"/>
        <w:jc w:val="center"/>
        <w:rPr>
          <w:rFonts w:ascii="Calibri" w:hAnsi="Calibri"/>
          <w:sz w:val="20"/>
        </w:rPr>
      </w:pPr>
      <w:r>
        <w:rPr>
          <w:rFonts w:ascii="Calibri" w:hAnsi="Calibri"/>
          <w:sz w:val="20"/>
        </w:rPr>
        <w:t>Budget Operations</w:t>
      </w:r>
      <w:r w:rsidR="00C815AE" w:rsidRPr="00C815AE">
        <w:rPr>
          <w:rFonts w:ascii="Calibri" w:hAnsi="Calibri"/>
          <w:sz w:val="20"/>
        </w:rPr>
        <w:t xml:space="preserve">, </w:t>
      </w:r>
      <w:r w:rsidR="00B37E50">
        <w:rPr>
          <w:rFonts w:ascii="Calibri" w:hAnsi="Calibri"/>
          <w:sz w:val="20"/>
        </w:rPr>
        <w:t>Deficit</w:t>
      </w:r>
      <w:r w:rsidR="00252A14">
        <w:rPr>
          <w:rFonts w:ascii="Calibri" w:hAnsi="Calibri"/>
          <w:sz w:val="20"/>
        </w:rPr>
        <w:t xml:space="preserve"> </w:t>
      </w:r>
      <w:r w:rsidR="00252A14" w:rsidRPr="00252A14">
        <w:rPr>
          <w:rFonts w:ascii="Calibri" w:hAnsi="Calibri"/>
          <w:sz w:val="20"/>
        </w:rPr>
        <w:t>Acknowledgment</w:t>
      </w:r>
    </w:p>
    <w:p w:rsidR="00C815AE" w:rsidRPr="00C815AE" w:rsidRDefault="00C815AE" w:rsidP="00C815AE">
      <w:pPr>
        <w:spacing w:after="0"/>
        <w:ind w:left="720" w:right="720"/>
        <w:jc w:val="center"/>
        <w:rPr>
          <w:rFonts w:ascii="Calibri" w:hAnsi="Calibri"/>
          <w:sz w:val="20"/>
        </w:rPr>
      </w:pPr>
      <w:r w:rsidRPr="00C815AE">
        <w:rPr>
          <w:rFonts w:ascii="Calibri" w:hAnsi="Calibri"/>
          <w:sz w:val="20"/>
        </w:rPr>
        <w:t xml:space="preserve">Department of Planning and </w:t>
      </w:r>
      <w:smartTag w:uri="urn:schemas-microsoft-com:office:smarttags" w:element="PersonName">
        <w:r w:rsidRPr="00C815AE">
          <w:rPr>
            <w:rFonts w:ascii="Calibri" w:hAnsi="Calibri"/>
            <w:sz w:val="20"/>
          </w:rPr>
          <w:t>Budget</w:t>
        </w:r>
      </w:smartTag>
    </w:p>
    <w:p w:rsidR="00C815AE" w:rsidRPr="00C815AE" w:rsidRDefault="00C815AE" w:rsidP="00C815AE">
      <w:pPr>
        <w:spacing w:after="0"/>
        <w:ind w:left="720" w:right="720"/>
        <w:jc w:val="center"/>
        <w:rPr>
          <w:rFonts w:ascii="Calibri" w:hAnsi="Calibri"/>
          <w:sz w:val="20"/>
        </w:rPr>
      </w:pPr>
      <w:r w:rsidRPr="00C815AE">
        <w:rPr>
          <w:rFonts w:ascii="Calibri" w:hAnsi="Calibri"/>
          <w:sz w:val="20"/>
        </w:rPr>
        <w:t>Patrick Henry Building</w:t>
      </w:r>
      <w:r>
        <w:rPr>
          <w:rFonts w:ascii="Calibri" w:hAnsi="Calibri"/>
          <w:sz w:val="20"/>
        </w:rPr>
        <w:t>, Room 5040</w:t>
      </w:r>
    </w:p>
    <w:p w:rsidR="00C815AE" w:rsidRPr="00C815AE" w:rsidRDefault="00C815AE" w:rsidP="00C815AE">
      <w:pPr>
        <w:spacing w:after="0"/>
        <w:ind w:left="720" w:right="720"/>
        <w:jc w:val="center"/>
        <w:rPr>
          <w:rFonts w:ascii="Calibri" w:hAnsi="Calibri"/>
          <w:sz w:val="20"/>
        </w:rPr>
      </w:pPr>
      <w:r w:rsidRPr="00C815AE">
        <w:rPr>
          <w:rFonts w:ascii="Calibri" w:hAnsi="Calibri"/>
          <w:sz w:val="20"/>
        </w:rPr>
        <w:t>1111 East Broad Street</w:t>
      </w:r>
    </w:p>
    <w:p w:rsidR="00C815AE" w:rsidRPr="00C815AE" w:rsidRDefault="00C815AE" w:rsidP="00C815AE">
      <w:pPr>
        <w:spacing w:after="0"/>
        <w:ind w:left="720" w:right="720"/>
        <w:jc w:val="center"/>
        <w:rPr>
          <w:rFonts w:ascii="Calibri" w:hAnsi="Calibri"/>
          <w:sz w:val="20"/>
        </w:rPr>
      </w:pPr>
      <w:r w:rsidRPr="00C815AE">
        <w:rPr>
          <w:rFonts w:ascii="Calibri" w:hAnsi="Calibri"/>
          <w:sz w:val="20"/>
        </w:rPr>
        <w:t>Richmond, Virginia  23219-1922</w:t>
      </w:r>
    </w:p>
    <w:p w:rsidR="00C815AE" w:rsidRPr="00677978" w:rsidRDefault="00C815AE" w:rsidP="00C815AE">
      <w:pPr>
        <w:spacing w:after="0"/>
        <w:ind w:right="720"/>
        <w:jc w:val="center"/>
        <w:rPr>
          <w:rFonts w:ascii="Calibri" w:hAnsi="Calibri" w:cs="Arial"/>
          <w:b/>
          <w:sz w:val="28"/>
          <w:szCs w:val="28"/>
        </w:rPr>
      </w:pPr>
    </w:p>
    <w:p w:rsidR="00843527" w:rsidRDefault="00C815AE" w:rsidP="00843527">
      <w:pPr>
        <w:spacing w:after="0"/>
        <w:ind w:left="0"/>
        <w:jc w:val="center"/>
        <w:rPr>
          <w:rFonts w:ascii="Calibri" w:hAnsi="Calibri" w:cs="Arial"/>
          <w:b/>
          <w:i/>
          <w:sz w:val="36"/>
          <w:szCs w:val="36"/>
        </w:rPr>
      </w:pPr>
      <w:r>
        <w:rPr>
          <w:rFonts w:ascii="Calibri" w:hAnsi="Calibri" w:cs="Arial"/>
          <w:b/>
          <w:sz w:val="36"/>
          <w:szCs w:val="36"/>
        </w:rPr>
        <w:br w:type="page"/>
      </w:r>
      <w:r w:rsidR="00B72277" w:rsidRPr="00DA13A6">
        <w:rPr>
          <w:rFonts w:ascii="Calibri" w:hAnsi="Calibri" w:cs="Arial"/>
          <w:b/>
          <w:i/>
          <w:sz w:val="36"/>
          <w:szCs w:val="36"/>
        </w:rPr>
        <w:lastRenderedPageBreak/>
        <w:t xml:space="preserve">Appendix </w:t>
      </w:r>
      <w:r w:rsidR="00EB48D3" w:rsidRPr="00DA13A6">
        <w:rPr>
          <w:rFonts w:ascii="Calibri" w:hAnsi="Calibri" w:cs="Arial"/>
          <w:b/>
          <w:i/>
          <w:sz w:val="36"/>
          <w:szCs w:val="36"/>
        </w:rPr>
        <w:t>B</w:t>
      </w:r>
    </w:p>
    <w:p w:rsidR="00DA13A6" w:rsidRPr="00DA13A6" w:rsidRDefault="00DA13A6" w:rsidP="00843527">
      <w:pPr>
        <w:spacing w:after="0"/>
        <w:ind w:left="0"/>
        <w:jc w:val="center"/>
        <w:rPr>
          <w:rFonts w:ascii="Calibri" w:hAnsi="Calibri" w:cs="Arial"/>
          <w:b/>
          <w:i/>
          <w:sz w:val="36"/>
          <w:szCs w:val="36"/>
        </w:rPr>
      </w:pPr>
    </w:p>
    <w:p w:rsidR="00B72277" w:rsidRPr="00843527" w:rsidRDefault="00B72277" w:rsidP="00843527">
      <w:pPr>
        <w:spacing w:after="0"/>
        <w:ind w:left="0"/>
        <w:jc w:val="center"/>
        <w:rPr>
          <w:rFonts w:ascii="Calibri" w:hAnsi="Calibri" w:cs="Arial"/>
          <w:b/>
          <w:sz w:val="36"/>
          <w:szCs w:val="36"/>
        </w:rPr>
      </w:pPr>
      <w:r w:rsidRPr="00843527">
        <w:rPr>
          <w:rFonts w:ascii="Calibri" w:hAnsi="Calibri" w:cs="Arial"/>
          <w:b/>
          <w:sz w:val="36"/>
          <w:szCs w:val="36"/>
        </w:rPr>
        <w:t xml:space="preserve">Appropriations Not To Be Allotted July 1, </w:t>
      </w:r>
      <w:r w:rsidR="00570627">
        <w:rPr>
          <w:rFonts w:ascii="Calibri" w:hAnsi="Calibri" w:cs="Arial"/>
          <w:b/>
          <w:sz w:val="36"/>
          <w:szCs w:val="36"/>
        </w:rPr>
        <w:t>2014</w:t>
      </w:r>
    </w:p>
    <w:p w:rsidR="00B72277" w:rsidRPr="0093655C" w:rsidRDefault="00B72277" w:rsidP="00B72277">
      <w:pPr>
        <w:spacing w:after="0"/>
        <w:ind w:left="720" w:right="720"/>
        <w:rPr>
          <w:rFonts w:ascii="Calibri" w:hAnsi="Calibri"/>
          <w:b/>
          <w:sz w:val="36"/>
          <w:szCs w:val="36"/>
        </w:rPr>
      </w:pPr>
    </w:p>
    <w:p w:rsidR="00B72277" w:rsidRPr="0093655C" w:rsidRDefault="00B72277" w:rsidP="00570627">
      <w:pPr>
        <w:pStyle w:val="BodyTextIndent"/>
        <w:tabs>
          <w:tab w:val="clear" w:pos="360"/>
        </w:tabs>
        <w:spacing w:after="0"/>
        <w:ind w:firstLine="0"/>
        <w:rPr>
          <w:rFonts w:ascii="Calibri" w:hAnsi="Calibri"/>
        </w:rPr>
      </w:pPr>
      <w:r w:rsidRPr="0093655C">
        <w:rPr>
          <w:rFonts w:ascii="Calibri" w:hAnsi="Calibri"/>
        </w:rPr>
        <w:t xml:space="preserve">The </w:t>
      </w:r>
      <w:r w:rsidR="00570627">
        <w:rPr>
          <w:rFonts w:ascii="Calibri" w:hAnsi="Calibri"/>
        </w:rPr>
        <w:t>2014</w:t>
      </w:r>
      <w:r w:rsidR="00F2526C" w:rsidRPr="0093655C">
        <w:rPr>
          <w:rFonts w:ascii="Calibri" w:hAnsi="Calibri"/>
        </w:rPr>
        <w:t xml:space="preserve"> </w:t>
      </w:r>
      <w:r w:rsidRPr="0093655C">
        <w:rPr>
          <w:rFonts w:ascii="Calibri" w:hAnsi="Calibri"/>
        </w:rPr>
        <w:t xml:space="preserve">Appropriation Act contains certain appropriations that are </w:t>
      </w:r>
      <w:r w:rsidR="00CB5539">
        <w:rPr>
          <w:rFonts w:ascii="Calibri" w:hAnsi="Calibri"/>
        </w:rPr>
        <w:t xml:space="preserve">initially withheld from expenditure on July 1, 2014, and therefore unallotted.  Funds are generally unallotted </w:t>
      </w:r>
      <w:r w:rsidRPr="0093655C">
        <w:rPr>
          <w:rFonts w:ascii="Calibri" w:hAnsi="Calibri"/>
        </w:rPr>
        <w:t>for the following reasons:</w:t>
      </w:r>
    </w:p>
    <w:p w:rsidR="00B72277" w:rsidRPr="0093655C" w:rsidRDefault="00B72277" w:rsidP="00B72277">
      <w:pPr>
        <w:pStyle w:val="BodyTextIndent"/>
        <w:spacing w:after="0"/>
        <w:rPr>
          <w:rFonts w:ascii="Calibri" w:hAnsi="Calibri"/>
        </w:rPr>
      </w:pPr>
    </w:p>
    <w:p w:rsidR="00B72277" w:rsidRPr="0093655C" w:rsidRDefault="00B72277" w:rsidP="00B72277">
      <w:pPr>
        <w:numPr>
          <w:ilvl w:val="0"/>
          <w:numId w:val="1"/>
        </w:numPr>
        <w:tabs>
          <w:tab w:val="left" w:pos="720"/>
          <w:tab w:val="left" w:pos="1170"/>
        </w:tabs>
        <w:spacing w:line="240" w:lineRule="atLeast"/>
        <w:rPr>
          <w:rFonts w:ascii="Calibri" w:hAnsi="Calibri"/>
        </w:rPr>
      </w:pPr>
      <w:r w:rsidRPr="0093655C">
        <w:rPr>
          <w:rFonts w:ascii="Calibri" w:hAnsi="Calibri"/>
        </w:rPr>
        <w:t>Some type of prior approval by the Governor or other designated person</w:t>
      </w:r>
      <w:r w:rsidR="00C21BA7">
        <w:rPr>
          <w:rFonts w:ascii="Calibri" w:hAnsi="Calibri"/>
        </w:rPr>
        <w:t>/group</w:t>
      </w:r>
      <w:r w:rsidRPr="0093655C">
        <w:rPr>
          <w:rFonts w:ascii="Calibri" w:hAnsi="Calibri"/>
        </w:rPr>
        <w:t xml:space="preserve"> is required;</w:t>
      </w:r>
    </w:p>
    <w:p w:rsidR="00B72277" w:rsidRPr="0093655C" w:rsidRDefault="00B72277" w:rsidP="00B72277">
      <w:pPr>
        <w:numPr>
          <w:ilvl w:val="0"/>
          <w:numId w:val="1"/>
        </w:numPr>
        <w:tabs>
          <w:tab w:val="left" w:pos="720"/>
          <w:tab w:val="left" w:pos="1170"/>
        </w:tabs>
        <w:spacing w:line="240" w:lineRule="atLeast"/>
        <w:rPr>
          <w:rFonts w:ascii="Calibri" w:hAnsi="Calibri"/>
        </w:rPr>
      </w:pPr>
      <w:r w:rsidRPr="0093655C">
        <w:rPr>
          <w:rFonts w:ascii="Calibri" w:hAnsi="Calibri"/>
        </w:rPr>
        <w:t>There is a match requirement;  or</w:t>
      </w:r>
    </w:p>
    <w:p w:rsidR="00B72277" w:rsidRPr="0093655C" w:rsidRDefault="00B72277" w:rsidP="00B72277">
      <w:pPr>
        <w:numPr>
          <w:ilvl w:val="0"/>
          <w:numId w:val="1"/>
        </w:numPr>
        <w:tabs>
          <w:tab w:val="left" w:pos="720"/>
          <w:tab w:val="left" w:pos="1170"/>
        </w:tabs>
        <w:spacing w:line="240" w:lineRule="atLeast"/>
        <w:rPr>
          <w:rFonts w:ascii="Calibri" w:hAnsi="Calibri"/>
        </w:rPr>
      </w:pPr>
      <w:r w:rsidRPr="0093655C">
        <w:rPr>
          <w:rFonts w:ascii="Calibri" w:hAnsi="Calibri"/>
        </w:rPr>
        <w:t xml:space="preserve">The appropriation is not expended in the agency to which it is made, but is transferred to other agencies for expenditure. </w:t>
      </w:r>
    </w:p>
    <w:p w:rsidR="00B72277" w:rsidRPr="0093655C" w:rsidRDefault="008F3B74" w:rsidP="00570627">
      <w:pPr>
        <w:pStyle w:val="BodyTextIndent"/>
        <w:tabs>
          <w:tab w:val="clear" w:pos="360"/>
        </w:tabs>
        <w:ind w:firstLine="0"/>
        <w:rPr>
          <w:rFonts w:ascii="Calibri" w:hAnsi="Calibri"/>
        </w:rPr>
      </w:pPr>
      <w:r w:rsidRPr="0093655C">
        <w:rPr>
          <w:rFonts w:ascii="Calibri" w:hAnsi="Calibri"/>
        </w:rPr>
        <w:t xml:space="preserve">DPB will post these unallotments on its </w:t>
      </w:r>
      <w:r w:rsidR="00F55C16">
        <w:rPr>
          <w:rFonts w:ascii="Calibri" w:hAnsi="Calibri"/>
        </w:rPr>
        <w:t>Web</w:t>
      </w:r>
      <w:r w:rsidRPr="0093655C">
        <w:rPr>
          <w:rFonts w:ascii="Calibri" w:hAnsi="Calibri"/>
        </w:rPr>
        <w:t xml:space="preserve"> site once the Appropriation Act has been signed into law.</w:t>
      </w:r>
      <w:r w:rsidR="00B72277" w:rsidRPr="0093655C">
        <w:rPr>
          <w:rFonts w:ascii="Calibri" w:hAnsi="Calibri"/>
        </w:rPr>
        <w:t xml:space="preserve">  The</w:t>
      </w:r>
      <w:r w:rsidRPr="0093655C">
        <w:rPr>
          <w:rFonts w:ascii="Calibri" w:hAnsi="Calibri"/>
        </w:rPr>
        <w:t>se</w:t>
      </w:r>
      <w:r w:rsidR="00B72277" w:rsidRPr="0093655C">
        <w:rPr>
          <w:rFonts w:ascii="Calibri" w:hAnsi="Calibri"/>
        </w:rPr>
        <w:t xml:space="preserve"> </w:t>
      </w:r>
      <w:r w:rsidRPr="0093655C">
        <w:rPr>
          <w:rFonts w:ascii="Calibri" w:hAnsi="Calibri"/>
        </w:rPr>
        <w:t>appropriations</w:t>
      </w:r>
      <w:r w:rsidR="00B72277" w:rsidRPr="0093655C">
        <w:rPr>
          <w:rFonts w:ascii="Calibri" w:hAnsi="Calibri"/>
        </w:rPr>
        <w:t xml:space="preserve"> will</w:t>
      </w:r>
      <w:r w:rsidRPr="0093655C">
        <w:rPr>
          <w:rFonts w:ascii="Calibri" w:hAnsi="Calibri"/>
        </w:rPr>
        <w:t xml:space="preserve"> </w:t>
      </w:r>
      <w:r w:rsidR="00B72277" w:rsidRPr="0093655C">
        <w:rPr>
          <w:rFonts w:ascii="Calibri" w:hAnsi="Calibri"/>
        </w:rPr>
        <w:t xml:space="preserve">be established as unallotted in </w:t>
      </w:r>
      <w:r w:rsidR="002E70C2" w:rsidRPr="0093655C">
        <w:rPr>
          <w:rFonts w:ascii="Calibri" w:hAnsi="Calibri"/>
        </w:rPr>
        <w:t>t</w:t>
      </w:r>
      <w:r w:rsidR="00E50121" w:rsidRPr="0093655C">
        <w:rPr>
          <w:rFonts w:ascii="Calibri" w:hAnsi="Calibri"/>
        </w:rPr>
        <w:t>he</w:t>
      </w:r>
      <w:r w:rsidR="00C03140" w:rsidRPr="0093655C">
        <w:rPr>
          <w:rFonts w:ascii="Calibri" w:hAnsi="Calibri"/>
        </w:rPr>
        <w:t xml:space="preserve"> </w:t>
      </w:r>
      <w:r w:rsidR="00FF15DD" w:rsidRPr="0093655C">
        <w:rPr>
          <w:rFonts w:ascii="Calibri" w:hAnsi="Calibri"/>
        </w:rPr>
        <w:t xml:space="preserve">PB </w:t>
      </w:r>
      <w:r w:rsidR="00F9528D" w:rsidRPr="0093655C">
        <w:rPr>
          <w:rFonts w:ascii="Calibri" w:hAnsi="Calibri"/>
        </w:rPr>
        <w:t>System</w:t>
      </w:r>
      <w:r w:rsidR="0013093A" w:rsidRPr="0093655C">
        <w:rPr>
          <w:rFonts w:ascii="Calibri" w:hAnsi="Calibri"/>
        </w:rPr>
        <w:t xml:space="preserve"> and</w:t>
      </w:r>
      <w:r w:rsidR="00B72277" w:rsidRPr="0093655C">
        <w:rPr>
          <w:rFonts w:ascii="Calibri" w:hAnsi="Calibri"/>
        </w:rPr>
        <w:t xml:space="preserve"> CARS on July 1, </w:t>
      </w:r>
      <w:r w:rsidR="00570627">
        <w:rPr>
          <w:rFonts w:ascii="Calibri" w:hAnsi="Calibri"/>
        </w:rPr>
        <w:t>2014</w:t>
      </w:r>
      <w:r w:rsidR="00B72277" w:rsidRPr="0093655C">
        <w:rPr>
          <w:rFonts w:ascii="Calibri" w:hAnsi="Calibri"/>
        </w:rPr>
        <w:t>, and will not be available for expenditure.  If expenditure is conditional upon a prior approval action or a match requirement, these criteria must be satisfied before the appropriation can be allotted.</w:t>
      </w:r>
    </w:p>
    <w:p w:rsidR="0081498D" w:rsidRPr="0081498D" w:rsidRDefault="0081498D" w:rsidP="0081498D">
      <w:pPr>
        <w:spacing w:after="0"/>
        <w:ind w:left="720" w:right="720"/>
        <w:rPr>
          <w:rFonts w:ascii="Bookman Old Style" w:hAnsi="Bookman Old Style"/>
          <w:b/>
          <w:szCs w:val="24"/>
        </w:rPr>
      </w:pPr>
    </w:p>
    <w:tbl>
      <w:tblPr>
        <w:tblW w:w="9650" w:type="dxa"/>
        <w:tblInd w:w="93" w:type="dxa"/>
        <w:tblLook w:val="04A0"/>
      </w:tblPr>
      <w:tblGrid>
        <w:gridCol w:w="919"/>
        <w:gridCol w:w="809"/>
        <w:gridCol w:w="1618"/>
        <w:gridCol w:w="1037"/>
        <w:gridCol w:w="877"/>
        <w:gridCol w:w="1520"/>
        <w:gridCol w:w="2870"/>
      </w:tblGrid>
      <w:tr w:rsidR="0081498D" w:rsidRPr="0081498D" w:rsidTr="00482C95">
        <w:trPr>
          <w:trHeight w:val="825"/>
        </w:trPr>
        <w:tc>
          <w:tcPr>
            <w:tcW w:w="919"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81498D" w:rsidRPr="0081498D" w:rsidRDefault="0081498D" w:rsidP="0081498D">
            <w:pPr>
              <w:tabs>
                <w:tab w:val="clear" w:pos="360"/>
              </w:tabs>
              <w:spacing w:after="0"/>
              <w:ind w:left="0"/>
              <w:jc w:val="center"/>
              <w:rPr>
                <w:rFonts w:ascii="Arial Narrow" w:hAnsi="Arial Narrow"/>
                <w:b/>
                <w:bCs/>
                <w:i/>
                <w:iCs/>
                <w:color w:val="000000"/>
                <w:sz w:val="20"/>
              </w:rPr>
            </w:pPr>
            <w:r w:rsidRPr="0081498D">
              <w:rPr>
                <w:rFonts w:ascii="Arial Narrow" w:hAnsi="Arial Narrow"/>
                <w:b/>
                <w:bCs/>
                <w:i/>
                <w:iCs/>
                <w:color w:val="000000"/>
                <w:sz w:val="20"/>
              </w:rPr>
              <w:t>Item</w:t>
            </w:r>
          </w:p>
        </w:tc>
        <w:tc>
          <w:tcPr>
            <w:tcW w:w="809" w:type="dxa"/>
            <w:tcBorders>
              <w:top w:val="single" w:sz="8" w:space="0" w:color="auto"/>
              <w:left w:val="nil"/>
              <w:bottom w:val="single" w:sz="8" w:space="0" w:color="auto"/>
              <w:right w:val="single" w:sz="8" w:space="0" w:color="auto"/>
            </w:tcBorders>
            <w:shd w:val="clear" w:color="000000" w:fill="C0C0C0"/>
            <w:vAlign w:val="bottom"/>
            <w:hideMark/>
          </w:tcPr>
          <w:p w:rsidR="0081498D" w:rsidRPr="0081498D" w:rsidRDefault="0081498D" w:rsidP="0081498D">
            <w:pPr>
              <w:tabs>
                <w:tab w:val="clear" w:pos="360"/>
              </w:tabs>
              <w:spacing w:after="0"/>
              <w:ind w:left="0"/>
              <w:jc w:val="center"/>
              <w:rPr>
                <w:rFonts w:ascii="Arial Narrow" w:hAnsi="Arial Narrow"/>
                <w:b/>
                <w:bCs/>
                <w:i/>
                <w:iCs/>
                <w:color w:val="000000"/>
                <w:sz w:val="20"/>
              </w:rPr>
            </w:pPr>
            <w:r w:rsidRPr="0081498D">
              <w:rPr>
                <w:rFonts w:ascii="Arial Narrow" w:hAnsi="Arial Narrow"/>
                <w:b/>
                <w:bCs/>
                <w:i/>
                <w:iCs/>
                <w:color w:val="000000"/>
                <w:sz w:val="20"/>
              </w:rPr>
              <w:t>Agency Code</w:t>
            </w:r>
          </w:p>
        </w:tc>
        <w:tc>
          <w:tcPr>
            <w:tcW w:w="1618" w:type="dxa"/>
            <w:tcBorders>
              <w:top w:val="single" w:sz="8" w:space="0" w:color="auto"/>
              <w:left w:val="nil"/>
              <w:bottom w:val="single" w:sz="8" w:space="0" w:color="auto"/>
              <w:right w:val="single" w:sz="8" w:space="0" w:color="auto"/>
            </w:tcBorders>
            <w:shd w:val="clear" w:color="000000" w:fill="C0C0C0"/>
            <w:vAlign w:val="bottom"/>
            <w:hideMark/>
          </w:tcPr>
          <w:p w:rsidR="0081498D" w:rsidRPr="0081498D" w:rsidRDefault="0081498D" w:rsidP="0081498D">
            <w:pPr>
              <w:tabs>
                <w:tab w:val="clear" w:pos="360"/>
              </w:tabs>
              <w:spacing w:after="0"/>
              <w:ind w:left="0"/>
              <w:jc w:val="center"/>
              <w:rPr>
                <w:rFonts w:ascii="Arial Narrow" w:hAnsi="Arial Narrow"/>
                <w:b/>
                <w:bCs/>
                <w:i/>
                <w:iCs/>
                <w:color w:val="000000"/>
                <w:sz w:val="20"/>
              </w:rPr>
            </w:pPr>
            <w:r w:rsidRPr="0081498D">
              <w:rPr>
                <w:rFonts w:ascii="Arial Narrow" w:hAnsi="Arial Narrow"/>
                <w:b/>
                <w:bCs/>
                <w:i/>
                <w:iCs/>
                <w:color w:val="000000"/>
                <w:sz w:val="20"/>
              </w:rPr>
              <w:t>Agency</w:t>
            </w:r>
          </w:p>
        </w:tc>
        <w:tc>
          <w:tcPr>
            <w:tcW w:w="1037" w:type="dxa"/>
            <w:tcBorders>
              <w:top w:val="single" w:sz="8" w:space="0" w:color="auto"/>
              <w:left w:val="nil"/>
              <w:bottom w:val="single" w:sz="8" w:space="0" w:color="auto"/>
              <w:right w:val="single" w:sz="8" w:space="0" w:color="auto"/>
            </w:tcBorders>
            <w:shd w:val="clear" w:color="000000" w:fill="C0C0C0"/>
            <w:vAlign w:val="bottom"/>
            <w:hideMark/>
          </w:tcPr>
          <w:p w:rsidR="0081498D" w:rsidRPr="0081498D" w:rsidRDefault="0081498D" w:rsidP="0081498D">
            <w:pPr>
              <w:tabs>
                <w:tab w:val="clear" w:pos="360"/>
              </w:tabs>
              <w:spacing w:after="0"/>
              <w:ind w:left="0"/>
              <w:jc w:val="center"/>
              <w:rPr>
                <w:rFonts w:ascii="Arial Narrow" w:hAnsi="Arial Narrow"/>
                <w:b/>
                <w:bCs/>
                <w:i/>
                <w:iCs/>
                <w:color w:val="000000"/>
                <w:sz w:val="20"/>
              </w:rPr>
            </w:pPr>
            <w:r w:rsidRPr="0081498D">
              <w:rPr>
                <w:rFonts w:ascii="Arial Narrow" w:hAnsi="Arial Narrow"/>
                <w:b/>
                <w:bCs/>
                <w:i/>
                <w:iCs/>
                <w:color w:val="000000"/>
                <w:sz w:val="20"/>
              </w:rPr>
              <w:t>Amount</w:t>
            </w:r>
          </w:p>
        </w:tc>
        <w:tc>
          <w:tcPr>
            <w:tcW w:w="877" w:type="dxa"/>
            <w:tcBorders>
              <w:top w:val="single" w:sz="8" w:space="0" w:color="auto"/>
              <w:left w:val="nil"/>
              <w:bottom w:val="single" w:sz="8" w:space="0" w:color="auto"/>
              <w:right w:val="single" w:sz="8" w:space="0" w:color="auto"/>
            </w:tcBorders>
            <w:shd w:val="clear" w:color="000000" w:fill="C0C0C0"/>
            <w:vAlign w:val="bottom"/>
            <w:hideMark/>
          </w:tcPr>
          <w:p w:rsidR="0081498D" w:rsidRPr="0081498D" w:rsidRDefault="0081498D" w:rsidP="0081498D">
            <w:pPr>
              <w:tabs>
                <w:tab w:val="clear" w:pos="360"/>
              </w:tabs>
              <w:spacing w:after="0"/>
              <w:ind w:left="0"/>
              <w:jc w:val="center"/>
              <w:rPr>
                <w:rFonts w:ascii="Arial Narrow" w:hAnsi="Arial Narrow"/>
                <w:b/>
                <w:bCs/>
                <w:i/>
                <w:iCs/>
                <w:color w:val="000000"/>
                <w:sz w:val="20"/>
              </w:rPr>
            </w:pPr>
            <w:r w:rsidRPr="0081498D">
              <w:rPr>
                <w:rFonts w:ascii="Arial Narrow" w:hAnsi="Arial Narrow"/>
                <w:b/>
                <w:bCs/>
                <w:i/>
                <w:iCs/>
                <w:color w:val="000000"/>
                <w:sz w:val="20"/>
              </w:rPr>
              <w:t>Fund</w:t>
            </w:r>
          </w:p>
        </w:tc>
        <w:tc>
          <w:tcPr>
            <w:tcW w:w="1520" w:type="dxa"/>
            <w:tcBorders>
              <w:top w:val="single" w:sz="8" w:space="0" w:color="auto"/>
              <w:left w:val="nil"/>
              <w:bottom w:val="single" w:sz="8" w:space="0" w:color="auto"/>
              <w:right w:val="single" w:sz="8" w:space="0" w:color="auto"/>
            </w:tcBorders>
            <w:shd w:val="clear" w:color="000000" w:fill="C0C0C0"/>
            <w:vAlign w:val="bottom"/>
            <w:hideMark/>
          </w:tcPr>
          <w:p w:rsidR="0081498D" w:rsidRPr="0081498D" w:rsidRDefault="0081498D" w:rsidP="0081498D">
            <w:pPr>
              <w:tabs>
                <w:tab w:val="clear" w:pos="360"/>
              </w:tabs>
              <w:spacing w:after="0"/>
              <w:ind w:left="0"/>
              <w:jc w:val="center"/>
              <w:rPr>
                <w:rFonts w:ascii="Arial Narrow" w:hAnsi="Arial Narrow"/>
                <w:b/>
                <w:bCs/>
                <w:i/>
                <w:iCs/>
                <w:color w:val="000000"/>
                <w:sz w:val="20"/>
              </w:rPr>
            </w:pPr>
            <w:r w:rsidRPr="0081498D">
              <w:rPr>
                <w:rFonts w:ascii="Arial Narrow" w:hAnsi="Arial Narrow"/>
                <w:b/>
                <w:bCs/>
                <w:i/>
                <w:iCs/>
                <w:color w:val="000000"/>
                <w:sz w:val="20"/>
              </w:rPr>
              <w:t>Program/Service Area</w:t>
            </w:r>
          </w:p>
        </w:tc>
        <w:tc>
          <w:tcPr>
            <w:tcW w:w="2870" w:type="dxa"/>
            <w:tcBorders>
              <w:top w:val="single" w:sz="8" w:space="0" w:color="auto"/>
              <w:left w:val="nil"/>
              <w:bottom w:val="single" w:sz="8" w:space="0" w:color="auto"/>
              <w:right w:val="single" w:sz="4" w:space="0" w:color="auto"/>
            </w:tcBorders>
            <w:shd w:val="clear" w:color="000000" w:fill="C0C0C0"/>
            <w:vAlign w:val="bottom"/>
            <w:hideMark/>
          </w:tcPr>
          <w:p w:rsidR="0081498D" w:rsidRPr="0081498D" w:rsidRDefault="0081498D" w:rsidP="0081498D">
            <w:pPr>
              <w:tabs>
                <w:tab w:val="clear" w:pos="360"/>
              </w:tabs>
              <w:spacing w:after="0"/>
              <w:ind w:left="0"/>
              <w:jc w:val="center"/>
              <w:rPr>
                <w:rFonts w:ascii="Arial Narrow" w:hAnsi="Arial Narrow"/>
                <w:b/>
                <w:bCs/>
                <w:i/>
                <w:iCs/>
                <w:color w:val="000000"/>
                <w:sz w:val="20"/>
              </w:rPr>
            </w:pPr>
            <w:r w:rsidRPr="0081498D">
              <w:rPr>
                <w:rFonts w:ascii="Arial Narrow" w:hAnsi="Arial Narrow"/>
                <w:b/>
                <w:bCs/>
                <w:i/>
                <w:iCs/>
                <w:color w:val="000000"/>
                <w:sz w:val="20"/>
              </w:rPr>
              <w:t>Description</w:t>
            </w:r>
          </w:p>
        </w:tc>
      </w:tr>
      <w:tr w:rsidR="0081498D" w:rsidRPr="0081498D" w:rsidTr="00482C95">
        <w:trPr>
          <w:trHeight w:val="1035"/>
        </w:trPr>
        <w:tc>
          <w:tcPr>
            <w:tcW w:w="919" w:type="dxa"/>
            <w:tcBorders>
              <w:top w:val="nil"/>
              <w:left w:val="single" w:sz="8" w:space="0" w:color="auto"/>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4</w:t>
            </w:r>
          </w:p>
        </w:tc>
        <w:tc>
          <w:tcPr>
            <w:tcW w:w="809"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961</w:t>
            </w:r>
          </w:p>
        </w:tc>
        <w:tc>
          <w:tcPr>
            <w:tcW w:w="1618"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Division of Capitol Police</w:t>
            </w:r>
          </w:p>
        </w:tc>
        <w:tc>
          <w:tcPr>
            <w:tcW w:w="1037" w:type="dxa"/>
            <w:tcBorders>
              <w:top w:val="nil"/>
              <w:left w:val="nil"/>
              <w:bottom w:val="single" w:sz="8" w:space="0" w:color="auto"/>
              <w:right w:val="single" w:sz="8" w:space="0" w:color="auto"/>
            </w:tcBorders>
            <w:shd w:val="clear" w:color="auto" w:fill="auto"/>
            <w:noWrap/>
            <w:vAlign w:val="center"/>
            <w:hideMark/>
          </w:tcPr>
          <w:p w:rsidR="0081498D" w:rsidRPr="00A721CF" w:rsidRDefault="0081498D" w:rsidP="0081498D">
            <w:pPr>
              <w:tabs>
                <w:tab w:val="clear" w:pos="360"/>
              </w:tabs>
              <w:spacing w:after="0"/>
              <w:ind w:left="0"/>
              <w:jc w:val="right"/>
              <w:rPr>
                <w:rFonts w:ascii="Arial Narrow" w:hAnsi="Arial Narrow"/>
                <w:color w:val="000000"/>
                <w:sz w:val="20"/>
              </w:rPr>
            </w:pPr>
            <w:r w:rsidRPr="00A721CF">
              <w:rPr>
                <w:rFonts w:ascii="Arial Narrow" w:hAnsi="Arial Narrow"/>
                <w:color w:val="000000"/>
                <w:sz w:val="20"/>
              </w:rPr>
              <w:t xml:space="preserve">$160,735 </w:t>
            </w:r>
          </w:p>
        </w:tc>
        <w:tc>
          <w:tcPr>
            <w:tcW w:w="877"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0100</w:t>
            </w:r>
          </w:p>
        </w:tc>
        <w:tc>
          <w:tcPr>
            <w:tcW w:w="152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39923</w:t>
            </w:r>
          </w:p>
        </w:tc>
        <w:tc>
          <w:tcPr>
            <w:tcW w:w="287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Approval of an additional position class or other career development plan by the Committee on Joint Rules required for allotment.</w:t>
            </w:r>
          </w:p>
        </w:tc>
      </w:tr>
      <w:tr w:rsidR="00CB6DF0" w:rsidRPr="0081498D" w:rsidTr="00843D9E">
        <w:trPr>
          <w:trHeight w:val="315"/>
        </w:trPr>
        <w:tc>
          <w:tcPr>
            <w:tcW w:w="919" w:type="dxa"/>
            <w:tcBorders>
              <w:top w:val="nil"/>
              <w:left w:val="single" w:sz="8" w:space="0" w:color="auto"/>
              <w:bottom w:val="single" w:sz="8" w:space="0" w:color="auto"/>
              <w:right w:val="single" w:sz="8" w:space="0" w:color="auto"/>
            </w:tcBorders>
            <w:shd w:val="clear" w:color="auto" w:fill="auto"/>
            <w:vAlign w:val="center"/>
            <w:hideMark/>
          </w:tcPr>
          <w:p w:rsidR="00CB6DF0" w:rsidRPr="00482C95" w:rsidRDefault="00CB6DF0" w:rsidP="00843D9E">
            <w:pPr>
              <w:tabs>
                <w:tab w:val="clear" w:pos="360"/>
              </w:tabs>
              <w:spacing w:after="0"/>
              <w:ind w:left="0"/>
              <w:jc w:val="center"/>
              <w:rPr>
                <w:rFonts w:ascii="Arial Narrow" w:hAnsi="Arial Narrow"/>
                <w:color w:val="000000"/>
                <w:sz w:val="20"/>
              </w:rPr>
            </w:pPr>
            <w:r>
              <w:rPr>
                <w:rFonts w:ascii="Arial Narrow" w:hAnsi="Arial Narrow"/>
                <w:color w:val="000000"/>
                <w:sz w:val="20"/>
              </w:rPr>
              <w:t>66.D</w:t>
            </w:r>
            <w:r w:rsidRPr="00482C95">
              <w:rPr>
                <w:rFonts w:ascii="Arial Narrow" w:hAnsi="Arial Narrow"/>
                <w:color w:val="000000"/>
                <w:sz w:val="20"/>
              </w:rPr>
              <w:t>.</w:t>
            </w:r>
          </w:p>
        </w:tc>
        <w:tc>
          <w:tcPr>
            <w:tcW w:w="809" w:type="dxa"/>
            <w:tcBorders>
              <w:top w:val="nil"/>
              <w:left w:val="nil"/>
              <w:bottom w:val="single" w:sz="8" w:space="0" w:color="auto"/>
              <w:right w:val="single" w:sz="8" w:space="0" w:color="auto"/>
            </w:tcBorders>
            <w:shd w:val="clear" w:color="auto" w:fill="auto"/>
            <w:vAlign w:val="center"/>
            <w:hideMark/>
          </w:tcPr>
          <w:p w:rsidR="00CB6DF0" w:rsidRPr="00482C95" w:rsidRDefault="00CB6DF0" w:rsidP="00843D9E">
            <w:pPr>
              <w:tabs>
                <w:tab w:val="clear" w:pos="360"/>
              </w:tabs>
              <w:spacing w:after="0"/>
              <w:ind w:left="0"/>
              <w:jc w:val="center"/>
              <w:rPr>
                <w:rFonts w:ascii="Arial Narrow" w:hAnsi="Arial Narrow"/>
                <w:color w:val="000000"/>
                <w:sz w:val="20"/>
              </w:rPr>
            </w:pPr>
            <w:r w:rsidRPr="00482C95">
              <w:rPr>
                <w:rFonts w:ascii="Arial Narrow" w:hAnsi="Arial Narrow"/>
                <w:color w:val="000000"/>
                <w:sz w:val="20"/>
              </w:rPr>
              <w:t>157</w:t>
            </w:r>
          </w:p>
        </w:tc>
        <w:tc>
          <w:tcPr>
            <w:tcW w:w="1618" w:type="dxa"/>
            <w:tcBorders>
              <w:top w:val="nil"/>
              <w:left w:val="nil"/>
              <w:bottom w:val="single" w:sz="8" w:space="0" w:color="auto"/>
              <w:right w:val="single" w:sz="8" w:space="0" w:color="auto"/>
            </w:tcBorders>
            <w:shd w:val="clear" w:color="auto" w:fill="auto"/>
            <w:vAlign w:val="center"/>
            <w:hideMark/>
          </w:tcPr>
          <w:p w:rsidR="00CB6DF0" w:rsidRPr="00482C95" w:rsidRDefault="00CB6DF0" w:rsidP="00843D9E">
            <w:pPr>
              <w:tabs>
                <w:tab w:val="clear" w:pos="360"/>
              </w:tabs>
              <w:spacing w:after="0"/>
              <w:ind w:left="0"/>
              <w:rPr>
                <w:rFonts w:ascii="Arial Narrow" w:hAnsi="Arial Narrow"/>
                <w:color w:val="000000"/>
                <w:sz w:val="20"/>
              </w:rPr>
            </w:pPr>
            <w:r w:rsidRPr="00482C95">
              <w:rPr>
                <w:rFonts w:ascii="Arial Narrow" w:hAnsi="Arial Narrow"/>
                <w:color w:val="000000"/>
                <w:sz w:val="20"/>
              </w:rPr>
              <w:t>Compensation Board</w:t>
            </w:r>
          </w:p>
        </w:tc>
        <w:tc>
          <w:tcPr>
            <w:tcW w:w="1037" w:type="dxa"/>
            <w:tcBorders>
              <w:top w:val="nil"/>
              <w:left w:val="nil"/>
              <w:bottom w:val="single" w:sz="8" w:space="0" w:color="auto"/>
              <w:right w:val="single" w:sz="8" w:space="0" w:color="auto"/>
            </w:tcBorders>
            <w:shd w:val="clear" w:color="auto" w:fill="auto"/>
            <w:noWrap/>
            <w:vAlign w:val="center"/>
            <w:hideMark/>
          </w:tcPr>
          <w:p w:rsidR="00CB6DF0" w:rsidRPr="00482C95" w:rsidRDefault="00CB6DF0" w:rsidP="00CB6DF0">
            <w:pPr>
              <w:tabs>
                <w:tab w:val="clear" w:pos="360"/>
              </w:tabs>
              <w:spacing w:after="0"/>
              <w:ind w:left="0"/>
              <w:jc w:val="right"/>
              <w:rPr>
                <w:rFonts w:ascii="Arial Narrow" w:hAnsi="Arial Narrow"/>
                <w:color w:val="000000"/>
                <w:sz w:val="20"/>
              </w:rPr>
            </w:pPr>
            <w:r w:rsidRPr="00482C95">
              <w:rPr>
                <w:rFonts w:ascii="Arial Narrow" w:hAnsi="Arial Narrow"/>
                <w:color w:val="000000"/>
                <w:sz w:val="20"/>
              </w:rPr>
              <w:t>$</w:t>
            </w:r>
            <w:r>
              <w:rPr>
                <w:rFonts w:ascii="Arial Narrow" w:hAnsi="Arial Narrow"/>
                <w:color w:val="000000"/>
                <w:sz w:val="20"/>
              </w:rPr>
              <w:t>1,875,437</w:t>
            </w:r>
            <w:r w:rsidRPr="00482C95">
              <w:rPr>
                <w:rFonts w:ascii="Arial Narrow" w:hAnsi="Arial Narrow"/>
                <w:color w:val="000000"/>
                <w:sz w:val="20"/>
              </w:rPr>
              <w:t xml:space="preserve"> </w:t>
            </w:r>
          </w:p>
        </w:tc>
        <w:tc>
          <w:tcPr>
            <w:tcW w:w="877" w:type="dxa"/>
            <w:tcBorders>
              <w:top w:val="nil"/>
              <w:left w:val="nil"/>
              <w:bottom w:val="single" w:sz="8" w:space="0" w:color="auto"/>
              <w:right w:val="single" w:sz="8" w:space="0" w:color="auto"/>
            </w:tcBorders>
            <w:shd w:val="clear" w:color="auto" w:fill="auto"/>
            <w:vAlign w:val="center"/>
            <w:hideMark/>
          </w:tcPr>
          <w:p w:rsidR="00CB6DF0" w:rsidRPr="00482C95" w:rsidRDefault="00CB6DF0" w:rsidP="00843D9E">
            <w:pPr>
              <w:tabs>
                <w:tab w:val="clear" w:pos="360"/>
              </w:tabs>
              <w:spacing w:after="0"/>
              <w:ind w:left="0"/>
              <w:jc w:val="center"/>
              <w:rPr>
                <w:rFonts w:ascii="Arial Narrow" w:hAnsi="Arial Narrow"/>
                <w:color w:val="000000"/>
                <w:sz w:val="20"/>
              </w:rPr>
            </w:pPr>
            <w:r w:rsidRPr="00482C95">
              <w:rPr>
                <w:rFonts w:ascii="Arial Narrow" w:hAnsi="Arial Narrow"/>
                <w:color w:val="000000"/>
                <w:sz w:val="20"/>
              </w:rPr>
              <w:t>0100</w:t>
            </w:r>
          </w:p>
        </w:tc>
        <w:tc>
          <w:tcPr>
            <w:tcW w:w="1520" w:type="dxa"/>
            <w:tcBorders>
              <w:top w:val="nil"/>
              <w:left w:val="nil"/>
              <w:bottom w:val="single" w:sz="8" w:space="0" w:color="auto"/>
              <w:right w:val="single" w:sz="8" w:space="0" w:color="auto"/>
            </w:tcBorders>
            <w:shd w:val="clear" w:color="auto" w:fill="auto"/>
            <w:vAlign w:val="center"/>
            <w:hideMark/>
          </w:tcPr>
          <w:p w:rsidR="00CB6DF0" w:rsidRPr="00482C95" w:rsidRDefault="00CB6DF0" w:rsidP="00843D9E">
            <w:pPr>
              <w:tabs>
                <w:tab w:val="clear" w:pos="360"/>
              </w:tabs>
              <w:spacing w:after="0"/>
              <w:ind w:left="0"/>
              <w:jc w:val="center"/>
              <w:rPr>
                <w:rFonts w:ascii="Arial Narrow" w:hAnsi="Arial Narrow"/>
                <w:color w:val="000000"/>
                <w:sz w:val="20"/>
              </w:rPr>
            </w:pPr>
            <w:r w:rsidRPr="00482C95">
              <w:rPr>
                <w:rFonts w:ascii="Arial Narrow" w:hAnsi="Arial Narrow"/>
                <w:color w:val="000000"/>
                <w:sz w:val="20"/>
              </w:rPr>
              <w:t>35601</w:t>
            </w:r>
          </w:p>
        </w:tc>
        <w:tc>
          <w:tcPr>
            <w:tcW w:w="2870" w:type="dxa"/>
            <w:tcBorders>
              <w:top w:val="nil"/>
              <w:left w:val="nil"/>
              <w:bottom w:val="single" w:sz="8" w:space="0" w:color="auto"/>
              <w:right w:val="single" w:sz="8" w:space="0" w:color="auto"/>
            </w:tcBorders>
            <w:shd w:val="clear" w:color="auto" w:fill="auto"/>
            <w:vAlign w:val="center"/>
            <w:hideMark/>
          </w:tcPr>
          <w:p w:rsidR="00CB6DF0" w:rsidRPr="00482C95" w:rsidRDefault="00CB6DF0" w:rsidP="00843D9E">
            <w:pPr>
              <w:tabs>
                <w:tab w:val="clear" w:pos="360"/>
              </w:tabs>
              <w:spacing w:after="0"/>
              <w:ind w:left="0"/>
              <w:rPr>
                <w:rFonts w:ascii="Arial Narrow" w:hAnsi="Arial Narrow"/>
                <w:color w:val="000000"/>
                <w:sz w:val="20"/>
              </w:rPr>
            </w:pPr>
            <w:r>
              <w:rPr>
                <w:rFonts w:ascii="Arial Narrow" w:hAnsi="Arial Narrow"/>
                <w:color w:val="000000"/>
                <w:sz w:val="20"/>
              </w:rPr>
              <w:t>F</w:t>
            </w:r>
            <w:r w:rsidRPr="00CB6DF0">
              <w:rPr>
                <w:rFonts w:ascii="Arial Narrow" w:hAnsi="Arial Narrow"/>
                <w:color w:val="000000"/>
                <w:sz w:val="20"/>
              </w:rPr>
              <w:t>unding for Southwest Virginia Regional Jail in Item 66.O (opening later in the fiscal year).</w:t>
            </w:r>
          </w:p>
        </w:tc>
      </w:tr>
      <w:tr w:rsidR="0081498D" w:rsidRPr="0081498D" w:rsidTr="00482C95">
        <w:trPr>
          <w:trHeight w:val="315"/>
        </w:trPr>
        <w:tc>
          <w:tcPr>
            <w:tcW w:w="919" w:type="dxa"/>
            <w:tcBorders>
              <w:top w:val="nil"/>
              <w:left w:val="single" w:sz="8" w:space="0" w:color="auto"/>
              <w:bottom w:val="single" w:sz="8" w:space="0" w:color="auto"/>
              <w:right w:val="single" w:sz="8" w:space="0" w:color="auto"/>
            </w:tcBorders>
            <w:shd w:val="clear" w:color="auto" w:fill="auto"/>
            <w:vAlign w:val="center"/>
            <w:hideMark/>
          </w:tcPr>
          <w:p w:rsidR="0081498D" w:rsidRPr="00482C95" w:rsidRDefault="00482C95" w:rsidP="0081498D">
            <w:pPr>
              <w:tabs>
                <w:tab w:val="clear" w:pos="360"/>
              </w:tabs>
              <w:spacing w:after="0"/>
              <w:ind w:left="0"/>
              <w:jc w:val="center"/>
              <w:rPr>
                <w:rFonts w:ascii="Arial Narrow" w:hAnsi="Arial Narrow"/>
                <w:color w:val="000000"/>
                <w:sz w:val="20"/>
              </w:rPr>
            </w:pPr>
            <w:r>
              <w:rPr>
                <w:rFonts w:ascii="Arial Narrow" w:hAnsi="Arial Narrow"/>
                <w:color w:val="000000"/>
                <w:sz w:val="20"/>
              </w:rPr>
              <w:t>67</w:t>
            </w:r>
            <w:r w:rsidR="0081498D" w:rsidRPr="00482C95">
              <w:rPr>
                <w:rFonts w:ascii="Arial Narrow" w:hAnsi="Arial Narrow"/>
                <w:color w:val="000000"/>
                <w:sz w:val="20"/>
              </w:rPr>
              <w:t>.D.</w:t>
            </w:r>
          </w:p>
        </w:tc>
        <w:tc>
          <w:tcPr>
            <w:tcW w:w="809" w:type="dxa"/>
            <w:tcBorders>
              <w:top w:val="nil"/>
              <w:left w:val="nil"/>
              <w:bottom w:val="single" w:sz="8" w:space="0" w:color="auto"/>
              <w:right w:val="single" w:sz="8" w:space="0" w:color="auto"/>
            </w:tcBorders>
            <w:shd w:val="clear" w:color="auto" w:fill="auto"/>
            <w:vAlign w:val="center"/>
            <w:hideMark/>
          </w:tcPr>
          <w:p w:rsidR="0081498D" w:rsidRPr="00482C95" w:rsidRDefault="0081498D" w:rsidP="0081498D">
            <w:pPr>
              <w:tabs>
                <w:tab w:val="clear" w:pos="360"/>
              </w:tabs>
              <w:spacing w:after="0"/>
              <w:ind w:left="0"/>
              <w:jc w:val="center"/>
              <w:rPr>
                <w:rFonts w:ascii="Arial Narrow" w:hAnsi="Arial Narrow"/>
                <w:color w:val="000000"/>
                <w:sz w:val="20"/>
              </w:rPr>
            </w:pPr>
            <w:r w:rsidRPr="00482C95">
              <w:rPr>
                <w:rFonts w:ascii="Arial Narrow" w:hAnsi="Arial Narrow"/>
                <w:color w:val="000000"/>
                <w:sz w:val="20"/>
              </w:rPr>
              <w:t>157</w:t>
            </w:r>
          </w:p>
        </w:tc>
        <w:tc>
          <w:tcPr>
            <w:tcW w:w="1618" w:type="dxa"/>
            <w:tcBorders>
              <w:top w:val="nil"/>
              <w:left w:val="nil"/>
              <w:bottom w:val="single" w:sz="8" w:space="0" w:color="auto"/>
              <w:right w:val="single" w:sz="8" w:space="0" w:color="auto"/>
            </w:tcBorders>
            <w:shd w:val="clear" w:color="auto" w:fill="auto"/>
            <w:vAlign w:val="center"/>
            <w:hideMark/>
          </w:tcPr>
          <w:p w:rsidR="0081498D" w:rsidRPr="00482C95" w:rsidRDefault="0081498D" w:rsidP="0081498D">
            <w:pPr>
              <w:tabs>
                <w:tab w:val="clear" w:pos="360"/>
              </w:tabs>
              <w:spacing w:after="0"/>
              <w:ind w:left="0"/>
              <w:rPr>
                <w:rFonts w:ascii="Arial Narrow" w:hAnsi="Arial Narrow"/>
                <w:color w:val="000000"/>
                <w:sz w:val="20"/>
              </w:rPr>
            </w:pPr>
            <w:r w:rsidRPr="00482C95">
              <w:rPr>
                <w:rFonts w:ascii="Arial Narrow" w:hAnsi="Arial Narrow"/>
                <w:color w:val="000000"/>
                <w:sz w:val="20"/>
              </w:rPr>
              <w:t>Compensation Board</w:t>
            </w:r>
          </w:p>
        </w:tc>
        <w:tc>
          <w:tcPr>
            <w:tcW w:w="1037" w:type="dxa"/>
            <w:tcBorders>
              <w:top w:val="nil"/>
              <w:left w:val="nil"/>
              <w:bottom w:val="single" w:sz="8" w:space="0" w:color="auto"/>
              <w:right w:val="single" w:sz="8" w:space="0" w:color="auto"/>
            </w:tcBorders>
            <w:shd w:val="clear" w:color="auto" w:fill="auto"/>
            <w:noWrap/>
            <w:vAlign w:val="center"/>
            <w:hideMark/>
          </w:tcPr>
          <w:p w:rsidR="0081498D" w:rsidRPr="00482C95" w:rsidRDefault="0081498D" w:rsidP="0081498D">
            <w:pPr>
              <w:tabs>
                <w:tab w:val="clear" w:pos="360"/>
              </w:tabs>
              <w:spacing w:after="0"/>
              <w:ind w:left="0"/>
              <w:jc w:val="right"/>
              <w:rPr>
                <w:rFonts w:ascii="Arial Narrow" w:hAnsi="Arial Narrow"/>
                <w:color w:val="000000"/>
                <w:sz w:val="20"/>
              </w:rPr>
            </w:pPr>
            <w:r w:rsidRPr="00482C95">
              <w:rPr>
                <w:rFonts w:ascii="Arial Narrow" w:hAnsi="Arial Narrow"/>
                <w:color w:val="000000"/>
                <w:sz w:val="20"/>
              </w:rPr>
              <w:t xml:space="preserve">$377,010 </w:t>
            </w:r>
          </w:p>
        </w:tc>
        <w:tc>
          <w:tcPr>
            <w:tcW w:w="877" w:type="dxa"/>
            <w:tcBorders>
              <w:top w:val="nil"/>
              <w:left w:val="nil"/>
              <w:bottom w:val="single" w:sz="8" w:space="0" w:color="auto"/>
              <w:right w:val="single" w:sz="8" w:space="0" w:color="auto"/>
            </w:tcBorders>
            <w:shd w:val="clear" w:color="auto" w:fill="auto"/>
            <w:vAlign w:val="center"/>
            <w:hideMark/>
          </w:tcPr>
          <w:p w:rsidR="0081498D" w:rsidRPr="00482C95" w:rsidRDefault="0081498D" w:rsidP="0081498D">
            <w:pPr>
              <w:tabs>
                <w:tab w:val="clear" w:pos="360"/>
              </w:tabs>
              <w:spacing w:after="0"/>
              <w:ind w:left="0"/>
              <w:jc w:val="center"/>
              <w:rPr>
                <w:rFonts w:ascii="Arial Narrow" w:hAnsi="Arial Narrow"/>
                <w:color w:val="000000"/>
                <w:sz w:val="20"/>
              </w:rPr>
            </w:pPr>
            <w:r w:rsidRPr="00482C95">
              <w:rPr>
                <w:rFonts w:ascii="Arial Narrow" w:hAnsi="Arial Narrow"/>
                <w:color w:val="000000"/>
                <w:sz w:val="20"/>
              </w:rPr>
              <w:t>0100</w:t>
            </w:r>
          </w:p>
        </w:tc>
        <w:tc>
          <w:tcPr>
            <w:tcW w:w="1520" w:type="dxa"/>
            <w:tcBorders>
              <w:top w:val="nil"/>
              <w:left w:val="nil"/>
              <w:bottom w:val="single" w:sz="8" w:space="0" w:color="auto"/>
              <w:right w:val="single" w:sz="8" w:space="0" w:color="auto"/>
            </w:tcBorders>
            <w:shd w:val="clear" w:color="auto" w:fill="auto"/>
            <w:vAlign w:val="center"/>
            <w:hideMark/>
          </w:tcPr>
          <w:p w:rsidR="0081498D" w:rsidRPr="00482C95" w:rsidRDefault="0081498D" w:rsidP="0081498D">
            <w:pPr>
              <w:tabs>
                <w:tab w:val="clear" w:pos="360"/>
              </w:tabs>
              <w:spacing w:after="0"/>
              <w:ind w:left="0"/>
              <w:jc w:val="center"/>
              <w:rPr>
                <w:rFonts w:ascii="Arial Narrow" w:hAnsi="Arial Narrow"/>
                <w:color w:val="000000"/>
                <w:sz w:val="20"/>
              </w:rPr>
            </w:pPr>
            <w:r w:rsidRPr="00482C95">
              <w:rPr>
                <w:rFonts w:ascii="Arial Narrow" w:hAnsi="Arial Narrow"/>
                <w:color w:val="000000"/>
                <w:sz w:val="20"/>
              </w:rPr>
              <w:t>35601</w:t>
            </w:r>
          </w:p>
        </w:tc>
        <w:tc>
          <w:tcPr>
            <w:tcW w:w="2870" w:type="dxa"/>
            <w:tcBorders>
              <w:top w:val="nil"/>
              <w:left w:val="nil"/>
              <w:bottom w:val="single" w:sz="8" w:space="0" w:color="auto"/>
              <w:right w:val="single" w:sz="8" w:space="0" w:color="auto"/>
            </w:tcBorders>
            <w:shd w:val="clear" w:color="auto" w:fill="auto"/>
            <w:vAlign w:val="center"/>
            <w:hideMark/>
          </w:tcPr>
          <w:p w:rsidR="0081498D" w:rsidRPr="00482C95" w:rsidRDefault="0081498D" w:rsidP="0081498D">
            <w:pPr>
              <w:tabs>
                <w:tab w:val="clear" w:pos="360"/>
              </w:tabs>
              <w:spacing w:after="0"/>
              <w:ind w:left="0"/>
              <w:rPr>
                <w:rFonts w:ascii="Arial Narrow" w:hAnsi="Arial Narrow"/>
                <w:color w:val="000000"/>
                <w:sz w:val="20"/>
              </w:rPr>
            </w:pPr>
            <w:r w:rsidRPr="00482C95">
              <w:rPr>
                <w:rFonts w:ascii="Arial Narrow" w:hAnsi="Arial Narrow"/>
                <w:color w:val="000000"/>
                <w:sz w:val="20"/>
              </w:rPr>
              <w:t>Reserve for unbudgeted medical costs</w:t>
            </w:r>
          </w:p>
        </w:tc>
      </w:tr>
      <w:tr w:rsidR="0081498D" w:rsidRPr="0081498D" w:rsidTr="00482C95">
        <w:trPr>
          <w:trHeight w:val="525"/>
        </w:trPr>
        <w:tc>
          <w:tcPr>
            <w:tcW w:w="919" w:type="dxa"/>
            <w:tcBorders>
              <w:top w:val="nil"/>
              <w:left w:val="single" w:sz="8" w:space="0" w:color="auto"/>
              <w:bottom w:val="single" w:sz="8" w:space="0" w:color="auto"/>
              <w:right w:val="single" w:sz="8" w:space="0" w:color="auto"/>
            </w:tcBorders>
            <w:shd w:val="clear" w:color="auto" w:fill="auto"/>
            <w:vAlign w:val="center"/>
            <w:hideMark/>
          </w:tcPr>
          <w:p w:rsidR="0081498D" w:rsidRPr="00A721CF" w:rsidRDefault="00A721CF"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174</w:t>
            </w:r>
            <w:r w:rsidR="0081498D" w:rsidRPr="00A721CF">
              <w:rPr>
                <w:rFonts w:ascii="Arial Narrow" w:hAnsi="Arial Narrow"/>
                <w:color w:val="000000"/>
                <w:sz w:val="20"/>
              </w:rPr>
              <w:t>.C.1</w:t>
            </w:r>
          </w:p>
        </w:tc>
        <w:tc>
          <w:tcPr>
            <w:tcW w:w="809"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213</w:t>
            </w:r>
          </w:p>
        </w:tc>
        <w:tc>
          <w:tcPr>
            <w:tcW w:w="1618"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 xml:space="preserve">Norfolk State University </w:t>
            </w:r>
          </w:p>
        </w:tc>
        <w:tc>
          <w:tcPr>
            <w:tcW w:w="1037"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right"/>
              <w:rPr>
                <w:rFonts w:ascii="Arial Narrow" w:hAnsi="Arial Narrow"/>
                <w:color w:val="000000"/>
                <w:sz w:val="20"/>
              </w:rPr>
            </w:pPr>
            <w:r w:rsidRPr="00A721CF">
              <w:rPr>
                <w:rFonts w:ascii="Arial Narrow" w:hAnsi="Arial Narrow"/>
                <w:color w:val="000000"/>
                <w:sz w:val="20"/>
              </w:rPr>
              <w:t xml:space="preserve">$70,000 </w:t>
            </w:r>
          </w:p>
        </w:tc>
        <w:tc>
          <w:tcPr>
            <w:tcW w:w="877"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0100</w:t>
            </w:r>
          </w:p>
        </w:tc>
        <w:tc>
          <w:tcPr>
            <w:tcW w:w="152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10110</w:t>
            </w:r>
          </w:p>
        </w:tc>
        <w:tc>
          <w:tcPr>
            <w:tcW w:w="287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 xml:space="preserve">Match requirement for </w:t>
            </w:r>
            <w:proofErr w:type="spellStart"/>
            <w:r w:rsidRPr="00A721CF">
              <w:rPr>
                <w:rFonts w:ascii="Arial Narrow" w:hAnsi="Arial Narrow"/>
                <w:color w:val="000000"/>
                <w:sz w:val="20"/>
              </w:rPr>
              <w:t>Dozoretz</w:t>
            </w:r>
            <w:proofErr w:type="spellEnd"/>
            <w:r w:rsidRPr="00A721CF">
              <w:rPr>
                <w:rFonts w:ascii="Arial Narrow" w:hAnsi="Arial Narrow"/>
                <w:color w:val="000000"/>
                <w:sz w:val="20"/>
              </w:rPr>
              <w:t xml:space="preserve"> Institute.</w:t>
            </w:r>
          </w:p>
        </w:tc>
      </w:tr>
      <w:tr w:rsidR="0081498D" w:rsidRPr="0081498D" w:rsidTr="00482C95">
        <w:trPr>
          <w:trHeight w:val="525"/>
        </w:trPr>
        <w:tc>
          <w:tcPr>
            <w:tcW w:w="919" w:type="dxa"/>
            <w:tcBorders>
              <w:top w:val="nil"/>
              <w:left w:val="single" w:sz="8" w:space="0" w:color="auto"/>
              <w:bottom w:val="single" w:sz="8" w:space="0" w:color="auto"/>
              <w:right w:val="single" w:sz="8" w:space="0" w:color="auto"/>
            </w:tcBorders>
            <w:shd w:val="clear" w:color="auto" w:fill="auto"/>
            <w:vAlign w:val="center"/>
            <w:hideMark/>
          </w:tcPr>
          <w:p w:rsidR="0081498D" w:rsidRPr="00A721CF" w:rsidRDefault="00A721CF" w:rsidP="0081498D">
            <w:pPr>
              <w:tabs>
                <w:tab w:val="clear" w:pos="360"/>
              </w:tabs>
              <w:spacing w:after="0"/>
              <w:ind w:left="0"/>
              <w:jc w:val="center"/>
              <w:rPr>
                <w:rFonts w:ascii="Arial Narrow" w:hAnsi="Arial Narrow"/>
                <w:color w:val="000000"/>
                <w:sz w:val="20"/>
              </w:rPr>
            </w:pPr>
            <w:r>
              <w:rPr>
                <w:rFonts w:ascii="Arial Narrow" w:hAnsi="Arial Narrow"/>
                <w:color w:val="000000"/>
                <w:sz w:val="20"/>
              </w:rPr>
              <w:t>213</w:t>
            </w:r>
            <w:r w:rsidR="0081498D" w:rsidRPr="00A721CF">
              <w:rPr>
                <w:rFonts w:ascii="Arial Narrow" w:hAnsi="Arial Narrow"/>
                <w:color w:val="000000"/>
                <w:sz w:val="20"/>
              </w:rPr>
              <w:t>.H</w:t>
            </w:r>
          </w:p>
        </w:tc>
        <w:tc>
          <w:tcPr>
            <w:tcW w:w="809"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260</w:t>
            </w:r>
          </w:p>
        </w:tc>
        <w:tc>
          <w:tcPr>
            <w:tcW w:w="1618"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Virginia Community College System</w:t>
            </w:r>
          </w:p>
        </w:tc>
        <w:tc>
          <w:tcPr>
            <w:tcW w:w="1037"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right"/>
              <w:rPr>
                <w:rFonts w:ascii="Arial Narrow" w:hAnsi="Arial Narrow"/>
                <w:color w:val="000000"/>
                <w:sz w:val="20"/>
              </w:rPr>
            </w:pPr>
            <w:r w:rsidRPr="00A721CF">
              <w:rPr>
                <w:rFonts w:ascii="Arial Narrow" w:hAnsi="Arial Narrow"/>
                <w:color w:val="000000"/>
                <w:sz w:val="20"/>
              </w:rPr>
              <w:t xml:space="preserve">$470,880 </w:t>
            </w:r>
          </w:p>
        </w:tc>
        <w:tc>
          <w:tcPr>
            <w:tcW w:w="877"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0100</w:t>
            </w:r>
          </w:p>
        </w:tc>
        <w:tc>
          <w:tcPr>
            <w:tcW w:w="152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53427</w:t>
            </w:r>
          </w:p>
        </w:tc>
        <w:tc>
          <w:tcPr>
            <w:tcW w:w="287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Match for four work force training centers</w:t>
            </w:r>
          </w:p>
        </w:tc>
      </w:tr>
      <w:tr w:rsidR="0081498D" w:rsidRPr="0081498D" w:rsidTr="00482C95">
        <w:trPr>
          <w:trHeight w:val="525"/>
        </w:trPr>
        <w:tc>
          <w:tcPr>
            <w:tcW w:w="919" w:type="dxa"/>
            <w:tcBorders>
              <w:top w:val="nil"/>
              <w:left w:val="single" w:sz="8" w:space="0" w:color="auto"/>
              <w:bottom w:val="single" w:sz="8" w:space="0" w:color="auto"/>
              <w:right w:val="single" w:sz="8" w:space="0" w:color="auto"/>
            </w:tcBorders>
            <w:shd w:val="clear" w:color="auto" w:fill="auto"/>
            <w:vAlign w:val="center"/>
            <w:hideMark/>
          </w:tcPr>
          <w:p w:rsidR="0081498D" w:rsidRPr="00A721CF" w:rsidRDefault="00A721CF" w:rsidP="0081498D">
            <w:pPr>
              <w:tabs>
                <w:tab w:val="clear" w:pos="360"/>
              </w:tabs>
              <w:spacing w:after="0"/>
              <w:ind w:left="0"/>
              <w:jc w:val="center"/>
              <w:rPr>
                <w:rFonts w:ascii="Arial Narrow" w:hAnsi="Arial Narrow"/>
                <w:color w:val="000000"/>
                <w:sz w:val="20"/>
              </w:rPr>
            </w:pPr>
            <w:r>
              <w:rPr>
                <w:rFonts w:ascii="Arial Narrow" w:hAnsi="Arial Narrow"/>
                <w:color w:val="000000"/>
                <w:sz w:val="20"/>
              </w:rPr>
              <w:t>213</w:t>
            </w:r>
            <w:r w:rsidR="0081498D" w:rsidRPr="00A721CF">
              <w:rPr>
                <w:rFonts w:ascii="Arial Narrow" w:hAnsi="Arial Narrow"/>
                <w:color w:val="000000"/>
                <w:sz w:val="20"/>
              </w:rPr>
              <w:t>.D2</w:t>
            </w:r>
          </w:p>
        </w:tc>
        <w:tc>
          <w:tcPr>
            <w:tcW w:w="809"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260</w:t>
            </w:r>
          </w:p>
        </w:tc>
        <w:tc>
          <w:tcPr>
            <w:tcW w:w="1618"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Virginia Community College System</w:t>
            </w:r>
          </w:p>
        </w:tc>
        <w:tc>
          <w:tcPr>
            <w:tcW w:w="1037"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right"/>
              <w:rPr>
                <w:rFonts w:ascii="Arial Narrow" w:hAnsi="Arial Narrow"/>
                <w:color w:val="000000"/>
                <w:sz w:val="20"/>
              </w:rPr>
            </w:pPr>
            <w:r w:rsidRPr="00A721CF">
              <w:rPr>
                <w:rFonts w:ascii="Arial Narrow" w:hAnsi="Arial Narrow"/>
                <w:color w:val="000000"/>
                <w:sz w:val="20"/>
              </w:rPr>
              <w:t xml:space="preserve">$232,626 </w:t>
            </w:r>
          </w:p>
        </w:tc>
        <w:tc>
          <w:tcPr>
            <w:tcW w:w="877"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0100</w:t>
            </w:r>
          </w:p>
        </w:tc>
        <w:tc>
          <w:tcPr>
            <w:tcW w:w="152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53427</w:t>
            </w:r>
          </w:p>
        </w:tc>
        <w:tc>
          <w:tcPr>
            <w:tcW w:w="287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Match for A.L. Philpott manufacturer's assistance program.</w:t>
            </w:r>
          </w:p>
        </w:tc>
      </w:tr>
      <w:tr w:rsidR="0081498D" w:rsidRPr="0081498D" w:rsidTr="00482C95">
        <w:trPr>
          <w:trHeight w:val="525"/>
        </w:trPr>
        <w:tc>
          <w:tcPr>
            <w:tcW w:w="919" w:type="dxa"/>
            <w:tcBorders>
              <w:top w:val="nil"/>
              <w:left w:val="single" w:sz="8" w:space="0" w:color="auto"/>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24</w:t>
            </w:r>
            <w:r w:rsidR="00A721CF">
              <w:rPr>
                <w:rFonts w:ascii="Arial Narrow" w:hAnsi="Arial Narrow"/>
                <w:color w:val="000000"/>
                <w:sz w:val="20"/>
              </w:rPr>
              <w:t>3</w:t>
            </w:r>
          </w:p>
        </w:tc>
        <w:tc>
          <w:tcPr>
            <w:tcW w:w="809"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274</w:t>
            </w:r>
          </w:p>
        </w:tc>
        <w:tc>
          <w:tcPr>
            <w:tcW w:w="1618"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Eastern Virginia Medical School</w:t>
            </w:r>
          </w:p>
        </w:tc>
        <w:tc>
          <w:tcPr>
            <w:tcW w:w="1037"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right"/>
              <w:rPr>
                <w:rFonts w:ascii="Arial Narrow" w:hAnsi="Arial Narrow"/>
                <w:color w:val="000000"/>
                <w:sz w:val="20"/>
              </w:rPr>
            </w:pPr>
            <w:r w:rsidRPr="00A721CF">
              <w:rPr>
                <w:rFonts w:ascii="Arial Narrow" w:hAnsi="Arial Narrow"/>
                <w:color w:val="000000"/>
                <w:sz w:val="20"/>
              </w:rPr>
              <w:t xml:space="preserve">$6,158,108 </w:t>
            </w:r>
          </w:p>
        </w:tc>
        <w:tc>
          <w:tcPr>
            <w:tcW w:w="877"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0100</w:t>
            </w:r>
          </w:p>
        </w:tc>
        <w:tc>
          <w:tcPr>
            <w:tcW w:w="152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11005</w:t>
            </w:r>
          </w:p>
        </w:tc>
        <w:tc>
          <w:tcPr>
            <w:tcW w:w="287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Approval of plan by Department of Medical Assistance Services</w:t>
            </w:r>
          </w:p>
        </w:tc>
      </w:tr>
      <w:tr w:rsidR="0081498D" w:rsidRPr="0081498D" w:rsidTr="00482C95">
        <w:trPr>
          <w:trHeight w:val="780"/>
        </w:trPr>
        <w:tc>
          <w:tcPr>
            <w:tcW w:w="919" w:type="dxa"/>
            <w:tcBorders>
              <w:top w:val="nil"/>
              <w:left w:val="single" w:sz="8" w:space="0" w:color="auto"/>
              <w:bottom w:val="single" w:sz="8" w:space="0" w:color="auto"/>
              <w:right w:val="single" w:sz="8" w:space="0" w:color="auto"/>
            </w:tcBorders>
            <w:shd w:val="clear" w:color="auto" w:fill="auto"/>
            <w:vAlign w:val="center"/>
            <w:hideMark/>
          </w:tcPr>
          <w:p w:rsidR="0081498D" w:rsidRPr="00A721CF" w:rsidRDefault="00482C95" w:rsidP="0081498D">
            <w:pPr>
              <w:tabs>
                <w:tab w:val="clear" w:pos="360"/>
              </w:tabs>
              <w:spacing w:after="0"/>
              <w:ind w:left="0"/>
              <w:jc w:val="center"/>
              <w:rPr>
                <w:rFonts w:ascii="Arial Narrow" w:hAnsi="Arial Narrow"/>
                <w:color w:val="000000"/>
                <w:sz w:val="20"/>
              </w:rPr>
            </w:pPr>
            <w:r>
              <w:rPr>
                <w:rFonts w:ascii="Arial Narrow" w:hAnsi="Arial Narrow"/>
                <w:color w:val="000000"/>
                <w:sz w:val="20"/>
              </w:rPr>
              <w:t>421.A.1.b</w:t>
            </w:r>
          </w:p>
        </w:tc>
        <w:tc>
          <w:tcPr>
            <w:tcW w:w="809"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136</w:t>
            </w:r>
          </w:p>
        </w:tc>
        <w:tc>
          <w:tcPr>
            <w:tcW w:w="1618"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Virginia Information Technologies Agency</w:t>
            </w:r>
          </w:p>
        </w:tc>
        <w:tc>
          <w:tcPr>
            <w:tcW w:w="1037" w:type="dxa"/>
            <w:tcBorders>
              <w:top w:val="nil"/>
              <w:left w:val="nil"/>
              <w:bottom w:val="single" w:sz="8" w:space="0" w:color="auto"/>
              <w:right w:val="single" w:sz="8" w:space="0" w:color="auto"/>
            </w:tcBorders>
            <w:shd w:val="clear" w:color="auto" w:fill="auto"/>
            <w:noWrap/>
            <w:vAlign w:val="center"/>
            <w:hideMark/>
          </w:tcPr>
          <w:p w:rsidR="0081498D" w:rsidRPr="00A721CF" w:rsidRDefault="0081498D" w:rsidP="0081498D">
            <w:pPr>
              <w:tabs>
                <w:tab w:val="clear" w:pos="360"/>
              </w:tabs>
              <w:spacing w:after="0"/>
              <w:ind w:left="0"/>
              <w:jc w:val="right"/>
              <w:rPr>
                <w:rFonts w:ascii="Arial Narrow" w:hAnsi="Arial Narrow"/>
                <w:color w:val="000000"/>
                <w:sz w:val="20"/>
              </w:rPr>
            </w:pPr>
            <w:r w:rsidRPr="00A721CF">
              <w:rPr>
                <w:rFonts w:ascii="Arial Narrow" w:hAnsi="Arial Narrow"/>
                <w:color w:val="000000"/>
                <w:sz w:val="20"/>
              </w:rPr>
              <w:t xml:space="preserve">$1,000,000 </w:t>
            </w:r>
          </w:p>
        </w:tc>
        <w:tc>
          <w:tcPr>
            <w:tcW w:w="877"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0900</w:t>
            </w:r>
          </w:p>
        </w:tc>
        <w:tc>
          <w:tcPr>
            <w:tcW w:w="152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jc w:val="center"/>
              <w:rPr>
                <w:rFonts w:ascii="Arial Narrow" w:hAnsi="Arial Narrow"/>
                <w:color w:val="000000"/>
                <w:sz w:val="20"/>
              </w:rPr>
            </w:pPr>
            <w:r w:rsidRPr="00A721CF">
              <w:rPr>
                <w:rFonts w:ascii="Arial Narrow" w:hAnsi="Arial Narrow"/>
                <w:color w:val="000000"/>
                <w:sz w:val="20"/>
              </w:rPr>
              <w:t>71201</w:t>
            </w:r>
          </w:p>
        </w:tc>
        <w:tc>
          <w:tcPr>
            <w:tcW w:w="2870" w:type="dxa"/>
            <w:tcBorders>
              <w:top w:val="nil"/>
              <w:left w:val="nil"/>
              <w:bottom w:val="single" w:sz="8" w:space="0" w:color="auto"/>
              <w:right w:val="single" w:sz="8" w:space="0" w:color="auto"/>
            </w:tcBorders>
            <w:shd w:val="clear" w:color="auto" w:fill="auto"/>
            <w:vAlign w:val="center"/>
            <w:hideMark/>
          </w:tcPr>
          <w:p w:rsidR="0081498D" w:rsidRPr="00A721CF" w:rsidRDefault="0081498D" w:rsidP="0081498D">
            <w:pPr>
              <w:tabs>
                <w:tab w:val="clear" w:pos="360"/>
              </w:tabs>
              <w:spacing w:after="0"/>
              <w:ind w:left="0"/>
              <w:rPr>
                <w:rFonts w:ascii="Arial Narrow" w:hAnsi="Arial Narrow"/>
                <w:color w:val="000000"/>
                <w:sz w:val="20"/>
              </w:rPr>
            </w:pPr>
            <w:r w:rsidRPr="00A721CF">
              <w:rPr>
                <w:rFonts w:ascii="Arial Narrow" w:hAnsi="Arial Narrow"/>
                <w:color w:val="000000"/>
                <w:sz w:val="20"/>
              </w:rPr>
              <w:t>Approval of expenditures by the Wireless E-911 Services Board required for allotment.</w:t>
            </w:r>
          </w:p>
        </w:tc>
      </w:tr>
    </w:tbl>
    <w:p w:rsidR="0081498D" w:rsidRPr="0081498D" w:rsidRDefault="0081498D" w:rsidP="0081498D">
      <w:pPr>
        <w:ind w:left="0"/>
        <w:rPr>
          <w:rFonts w:ascii="Arial Narrow" w:hAnsi="Arial Narrow"/>
          <w:sz w:val="20"/>
        </w:rPr>
      </w:pPr>
    </w:p>
    <w:p w:rsidR="005C3182" w:rsidRDefault="0081498D" w:rsidP="00A156F3">
      <w:pPr>
        <w:spacing w:after="0"/>
        <w:ind w:left="0" w:right="720"/>
        <w:jc w:val="center"/>
        <w:rPr>
          <w:rFonts w:ascii="Calibri" w:hAnsi="Calibri" w:cs="Arial"/>
          <w:b/>
          <w:i/>
          <w:sz w:val="36"/>
          <w:szCs w:val="36"/>
        </w:rPr>
      </w:pPr>
      <w:r w:rsidRPr="0081498D">
        <w:rPr>
          <w:rFonts w:ascii="Calibri" w:hAnsi="Calibri"/>
          <w:szCs w:val="24"/>
        </w:rPr>
        <w:br w:type="page"/>
      </w:r>
      <w:r w:rsidR="00FA00A3" w:rsidRPr="00DA13A6">
        <w:rPr>
          <w:rFonts w:ascii="Calibri" w:hAnsi="Calibri"/>
          <w:i/>
          <w:szCs w:val="24"/>
        </w:rPr>
        <w:lastRenderedPageBreak/>
        <w:t xml:space="preserve"> </w:t>
      </w:r>
      <w:bookmarkStart w:id="22" w:name="_Toc364840898"/>
      <w:r w:rsidR="005C3182" w:rsidRPr="00DA13A6">
        <w:rPr>
          <w:rFonts w:ascii="Calibri" w:hAnsi="Calibri" w:cs="Arial"/>
          <w:b/>
          <w:i/>
          <w:sz w:val="36"/>
          <w:szCs w:val="36"/>
        </w:rPr>
        <w:t xml:space="preserve">Appendix </w:t>
      </w:r>
      <w:r w:rsidR="00DA13A6">
        <w:rPr>
          <w:rFonts w:ascii="Calibri" w:hAnsi="Calibri" w:cs="Arial"/>
          <w:b/>
          <w:i/>
          <w:sz w:val="36"/>
          <w:szCs w:val="36"/>
        </w:rPr>
        <w:t>C</w:t>
      </w:r>
    </w:p>
    <w:p w:rsidR="00DA13A6" w:rsidRPr="00DA13A6" w:rsidRDefault="00DA13A6" w:rsidP="00A156F3">
      <w:pPr>
        <w:spacing w:after="0"/>
        <w:ind w:left="0" w:right="720"/>
        <w:jc w:val="center"/>
        <w:rPr>
          <w:rFonts w:ascii="Calibri" w:hAnsi="Calibri"/>
          <w:i/>
          <w:szCs w:val="24"/>
        </w:rPr>
      </w:pPr>
    </w:p>
    <w:p w:rsidR="005C3182" w:rsidRDefault="005C3182" w:rsidP="005C3182">
      <w:pPr>
        <w:pStyle w:val="Heading1"/>
        <w:spacing w:before="0" w:after="0"/>
        <w:rPr>
          <w:rFonts w:ascii="Calibri" w:hAnsi="Calibri" w:cs="Arial"/>
        </w:rPr>
      </w:pPr>
      <w:r>
        <w:rPr>
          <w:rFonts w:ascii="Calibri" w:hAnsi="Calibri" w:cs="Arial"/>
        </w:rPr>
        <w:t xml:space="preserve">Employer Fringe </w:t>
      </w:r>
      <w:r w:rsidRPr="005C3182">
        <w:rPr>
          <w:rFonts w:ascii="Calibri" w:hAnsi="Calibri" w:cs="Arial"/>
        </w:rPr>
        <w:t>Benefit Rates</w:t>
      </w:r>
      <w:bookmarkEnd w:id="22"/>
    </w:p>
    <w:p w:rsidR="005C3182" w:rsidRPr="005C3182" w:rsidRDefault="005C3182" w:rsidP="005C3182"/>
    <w:p w:rsidR="005C3182" w:rsidRDefault="005C3182" w:rsidP="005C3182">
      <w:pPr>
        <w:pStyle w:val="StyleTimesNewRomanAfter4pt"/>
        <w:spacing w:before="0" w:after="60"/>
        <w:ind w:firstLine="0"/>
        <w:rPr>
          <w:rFonts w:asciiTheme="minorHAnsi" w:hAnsiTheme="minorHAnsi"/>
        </w:rPr>
      </w:pPr>
      <w:r w:rsidRPr="005C3182">
        <w:rPr>
          <w:rFonts w:cs="Arial"/>
          <w:color w:val="000000"/>
          <w:sz w:val="20"/>
        </w:rPr>
        <w:t xml:space="preserve">Employer fringe benefit rates, </w:t>
      </w:r>
      <w:proofErr w:type="gramStart"/>
      <w:r w:rsidRPr="005C3182">
        <w:rPr>
          <w:rFonts w:asciiTheme="minorHAnsi" w:hAnsiTheme="minorHAnsi"/>
          <w:sz w:val="20"/>
        </w:rPr>
        <w:t>Provided</w:t>
      </w:r>
      <w:proofErr w:type="gramEnd"/>
      <w:r w:rsidRPr="005C3182">
        <w:rPr>
          <w:rFonts w:asciiTheme="minorHAnsi" w:hAnsiTheme="minorHAnsi"/>
          <w:sz w:val="20"/>
        </w:rPr>
        <w:t xml:space="preserve"> by </w:t>
      </w:r>
      <w:r w:rsidRPr="005C3182">
        <w:rPr>
          <w:rFonts w:cs="Arial"/>
          <w:color w:val="000000"/>
          <w:sz w:val="20"/>
        </w:rPr>
        <w:t xml:space="preserve">the Department of Accounts (DOA).  The official rates documentation can be found in DOA’s fiscal year-end payroll bulletin.  Payroll bulletins can be found at the following DOA </w:t>
      </w:r>
      <w:r w:rsidR="00F55C16">
        <w:rPr>
          <w:rFonts w:cs="Arial"/>
          <w:color w:val="000000"/>
          <w:sz w:val="20"/>
        </w:rPr>
        <w:t>Web</w:t>
      </w:r>
      <w:r w:rsidRPr="005C3182">
        <w:rPr>
          <w:rFonts w:cs="Arial"/>
          <w:color w:val="000000"/>
          <w:sz w:val="20"/>
        </w:rPr>
        <w:t xml:space="preserve"> link: </w:t>
      </w:r>
      <w:hyperlink r:id="rId18" w:history="1">
        <w:r w:rsidRPr="005C3182">
          <w:rPr>
            <w:rStyle w:val="Hyperlink"/>
            <w:sz w:val="20"/>
          </w:rPr>
          <w:t>http://www.doa.virginia.gov/Payroll/Payroll_Main.cfm</w:t>
        </w:r>
      </w:hyperlink>
      <w:r w:rsidRPr="005C3182">
        <w:rPr>
          <w:sz w:val="20"/>
        </w:rPr>
        <w:t>.</w:t>
      </w:r>
      <w:r w:rsidRPr="005C3182">
        <w:rPr>
          <w:sz w:val="20"/>
        </w:rPr>
        <w:br/>
      </w:r>
    </w:p>
    <w:tbl>
      <w:tblPr>
        <w:tblW w:w="8368" w:type="dxa"/>
        <w:jc w:val="center"/>
        <w:tblInd w:w="-1288" w:type="dxa"/>
        <w:tblLayout w:type="fixed"/>
        <w:tblCellMar>
          <w:left w:w="0" w:type="dxa"/>
          <w:right w:w="0" w:type="dxa"/>
        </w:tblCellMar>
        <w:tblLook w:val="0000"/>
      </w:tblPr>
      <w:tblGrid>
        <w:gridCol w:w="20"/>
        <w:gridCol w:w="1104"/>
        <w:gridCol w:w="10"/>
        <w:gridCol w:w="2664"/>
        <w:gridCol w:w="1530"/>
        <w:gridCol w:w="3040"/>
      </w:tblGrid>
      <w:tr w:rsidR="005C3182" w:rsidRPr="0001193B" w:rsidTr="002C11A4">
        <w:trPr>
          <w:gridBefore w:val="1"/>
          <w:wBefore w:w="20" w:type="dxa"/>
          <w:trHeight w:val="245"/>
          <w:jc w:val="center"/>
        </w:trPr>
        <w:tc>
          <w:tcPr>
            <w:tcW w:w="1114" w:type="dxa"/>
            <w:gridSpan w:val="2"/>
            <w:tcBorders>
              <w:top w:val="single" w:sz="12" w:space="0" w:color="auto"/>
              <w:left w:val="single" w:sz="12" w:space="0" w:color="auto"/>
              <w:bottom w:val="single" w:sz="12" w:space="0" w:color="auto"/>
              <w:right w:val="single" w:sz="8" w:space="0" w:color="FFFFFF"/>
            </w:tcBorders>
            <w:shd w:val="clear" w:color="auto" w:fill="4F81BD" w:themeFill="accent1"/>
            <w:noWrap/>
            <w:tcMar>
              <w:top w:w="13" w:type="dxa"/>
              <w:left w:w="13" w:type="dxa"/>
              <w:bottom w:w="0" w:type="dxa"/>
              <w:right w:w="13" w:type="dxa"/>
            </w:tcMar>
            <w:vAlign w:val="bottom"/>
          </w:tcPr>
          <w:p w:rsidR="005C3182" w:rsidRPr="00A1100A" w:rsidRDefault="005C3182" w:rsidP="002C11A4">
            <w:pPr>
              <w:pStyle w:val="Heading3"/>
              <w:tabs>
                <w:tab w:val="left" w:pos="-20"/>
              </w:tabs>
              <w:spacing w:after="0"/>
              <w:ind w:hanging="20"/>
              <w:rPr>
                <w:rFonts w:asciiTheme="minorHAnsi" w:hAnsiTheme="minorHAnsi"/>
                <w:i/>
                <w:iCs/>
                <w:color w:val="FFFFFF"/>
                <w:sz w:val="20"/>
              </w:rPr>
            </w:pPr>
            <w:r w:rsidRPr="00A1100A">
              <w:rPr>
                <w:rFonts w:asciiTheme="minorHAnsi" w:hAnsiTheme="minorHAnsi"/>
                <w:i/>
                <w:iCs/>
                <w:color w:val="FFFFFF"/>
                <w:sz w:val="20"/>
              </w:rPr>
              <w:t>Sub Object</w:t>
            </w:r>
          </w:p>
        </w:tc>
        <w:tc>
          <w:tcPr>
            <w:tcW w:w="4194" w:type="dxa"/>
            <w:gridSpan w:val="2"/>
            <w:tcBorders>
              <w:top w:val="single" w:sz="12" w:space="0" w:color="auto"/>
              <w:left w:val="single" w:sz="8" w:space="0" w:color="FFFFFF"/>
              <w:bottom w:val="single" w:sz="12" w:space="0" w:color="auto"/>
              <w:right w:val="single" w:sz="8" w:space="0" w:color="FFFFFF"/>
            </w:tcBorders>
            <w:shd w:val="clear" w:color="auto" w:fill="4F81BD" w:themeFill="accent1"/>
            <w:noWrap/>
            <w:tcMar>
              <w:top w:w="13" w:type="dxa"/>
              <w:left w:w="13" w:type="dxa"/>
              <w:bottom w:w="0" w:type="dxa"/>
              <w:right w:w="13" w:type="dxa"/>
            </w:tcMar>
            <w:vAlign w:val="bottom"/>
          </w:tcPr>
          <w:p w:rsidR="005C3182" w:rsidRPr="00A1100A" w:rsidRDefault="005C3182" w:rsidP="002C11A4">
            <w:pPr>
              <w:pStyle w:val="Heading3"/>
              <w:spacing w:after="0"/>
              <w:ind w:firstLine="385"/>
              <w:rPr>
                <w:rFonts w:asciiTheme="minorHAnsi" w:hAnsiTheme="minorHAnsi"/>
                <w:i/>
                <w:iCs/>
                <w:color w:val="FFFFFF"/>
                <w:sz w:val="20"/>
              </w:rPr>
            </w:pPr>
            <w:r w:rsidRPr="00A1100A">
              <w:rPr>
                <w:rFonts w:asciiTheme="minorHAnsi" w:hAnsiTheme="minorHAnsi"/>
                <w:i/>
                <w:iCs/>
                <w:color w:val="FFFFFF"/>
                <w:sz w:val="20"/>
              </w:rPr>
              <w:t>Benefit</w:t>
            </w:r>
          </w:p>
        </w:tc>
        <w:tc>
          <w:tcPr>
            <w:tcW w:w="3040" w:type="dxa"/>
            <w:tcBorders>
              <w:top w:val="single" w:sz="12" w:space="0" w:color="auto"/>
              <w:left w:val="single" w:sz="4" w:space="0" w:color="auto"/>
              <w:bottom w:val="single" w:sz="12" w:space="0" w:color="auto"/>
              <w:right w:val="single" w:sz="12" w:space="0" w:color="auto"/>
            </w:tcBorders>
            <w:shd w:val="clear" w:color="auto" w:fill="4F81BD" w:themeFill="accent1"/>
          </w:tcPr>
          <w:p w:rsidR="005C3182" w:rsidRDefault="005C3182" w:rsidP="002C11A4">
            <w:pPr>
              <w:pStyle w:val="Heading3"/>
              <w:tabs>
                <w:tab w:val="left" w:pos="-60"/>
              </w:tabs>
              <w:spacing w:after="0"/>
              <w:ind w:left="-58" w:firstLine="29"/>
              <w:rPr>
                <w:rFonts w:asciiTheme="minorHAnsi" w:hAnsiTheme="minorHAnsi"/>
                <w:i/>
                <w:iCs/>
                <w:color w:val="FFFFFF"/>
                <w:sz w:val="20"/>
              </w:rPr>
            </w:pPr>
            <w:r>
              <w:rPr>
                <w:rFonts w:asciiTheme="minorHAnsi" w:hAnsiTheme="minorHAnsi"/>
                <w:i/>
                <w:iCs/>
                <w:color w:val="FFFFFF"/>
                <w:sz w:val="20"/>
              </w:rPr>
              <w:t>Decision Package</w:t>
            </w:r>
          </w:p>
          <w:p w:rsidR="005C3182" w:rsidRPr="00E21A30" w:rsidRDefault="005C3182" w:rsidP="002C11A4">
            <w:pPr>
              <w:pStyle w:val="Heading3"/>
              <w:tabs>
                <w:tab w:val="left" w:pos="-60"/>
              </w:tabs>
              <w:spacing w:after="0"/>
              <w:ind w:left="-58" w:firstLine="29"/>
              <w:rPr>
                <w:rFonts w:asciiTheme="minorHAnsi" w:hAnsiTheme="minorHAnsi"/>
                <w:i/>
                <w:iCs/>
                <w:color w:val="FFFFFF"/>
                <w:sz w:val="20"/>
              </w:rPr>
            </w:pPr>
            <w:r>
              <w:rPr>
                <w:rFonts w:asciiTheme="minorHAnsi" w:hAnsiTheme="minorHAnsi"/>
                <w:i/>
                <w:iCs/>
                <w:color w:val="FFFFFF"/>
                <w:sz w:val="20"/>
              </w:rPr>
              <w:t>Rates/</w:t>
            </w:r>
            <w:r w:rsidRPr="00E21A30">
              <w:rPr>
                <w:rFonts w:asciiTheme="minorHAnsi" w:hAnsiTheme="minorHAnsi"/>
                <w:i/>
                <w:iCs/>
                <w:color w:val="FFFFFF"/>
                <w:sz w:val="20"/>
              </w:rPr>
              <w:t>Factors</w:t>
            </w:r>
            <w:r w:rsidRPr="00A1100A">
              <w:rPr>
                <w:rFonts w:asciiTheme="minorHAnsi" w:hAnsiTheme="minorHAnsi"/>
                <w:i/>
                <w:iCs/>
                <w:color w:val="FFFFFF"/>
                <w:sz w:val="20"/>
                <w:vertAlign w:val="superscript"/>
              </w:rPr>
              <w:t>1</w:t>
            </w:r>
          </w:p>
        </w:tc>
      </w:tr>
      <w:tr w:rsidR="005C3182" w:rsidRPr="00EA6A1F" w:rsidTr="002C11A4">
        <w:trPr>
          <w:gridBefore w:val="1"/>
          <w:wBefore w:w="20" w:type="dxa"/>
          <w:trHeight w:val="188"/>
          <w:jc w:val="center"/>
        </w:trPr>
        <w:tc>
          <w:tcPr>
            <w:tcW w:w="1114" w:type="dxa"/>
            <w:gridSpan w:val="2"/>
            <w:tcBorders>
              <w:top w:val="single" w:sz="12" w:space="0" w:color="auto"/>
              <w:left w:val="single" w:sz="12" w:space="0" w:color="auto"/>
              <w:bottom w:val="nil"/>
              <w:right w:val="single" w:sz="8"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1111</w:t>
            </w:r>
          </w:p>
        </w:tc>
        <w:tc>
          <w:tcPr>
            <w:tcW w:w="4194" w:type="dxa"/>
            <w:gridSpan w:val="2"/>
            <w:tcBorders>
              <w:top w:val="single" w:sz="12" w:space="0" w:color="auto"/>
              <w:left w:val="single" w:sz="8" w:space="0" w:color="auto"/>
              <w:bottom w:val="nil"/>
              <w:right w:val="single" w:sz="8"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VRS Retirement Contributions</w:t>
            </w:r>
          </w:p>
        </w:tc>
        <w:tc>
          <w:tcPr>
            <w:tcW w:w="3040" w:type="dxa"/>
            <w:tcBorders>
              <w:top w:val="single" w:sz="12" w:space="0" w:color="auto"/>
              <w:left w:val="single" w:sz="4" w:space="0" w:color="auto"/>
              <w:bottom w:val="nil"/>
              <w:right w:val="single" w:sz="12" w:space="0" w:color="auto"/>
            </w:tcBorders>
          </w:tcPr>
          <w:p w:rsidR="005C3182" w:rsidRPr="00EA6A1F" w:rsidRDefault="005C3182" w:rsidP="002C11A4">
            <w:pPr>
              <w:tabs>
                <w:tab w:val="left" w:pos="-60"/>
              </w:tabs>
              <w:spacing w:after="0"/>
              <w:ind w:left="-60"/>
              <w:jc w:val="center"/>
              <w:rPr>
                <w:rFonts w:cs="Arial"/>
                <w:sz w:val="18"/>
                <w:szCs w:val="18"/>
              </w:rPr>
            </w:pPr>
          </w:p>
        </w:tc>
      </w:tr>
      <w:tr w:rsidR="005C3182" w:rsidRPr="00EA6A1F" w:rsidTr="002C11A4">
        <w:trPr>
          <w:gridBefore w:val="1"/>
          <w:wBefore w:w="20" w:type="dxa"/>
          <w:trHeight w:val="255"/>
          <w:jc w:val="center"/>
        </w:trPr>
        <w:tc>
          <w:tcPr>
            <w:tcW w:w="1114" w:type="dxa"/>
            <w:gridSpan w:val="2"/>
            <w:tcBorders>
              <w:top w:val="nil"/>
              <w:left w:val="single" w:sz="12" w:space="0" w:color="auto"/>
              <w:bottom w:val="nil"/>
              <w:right w:val="single" w:sz="8"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4194" w:type="dxa"/>
            <w:gridSpan w:val="2"/>
            <w:tcBorders>
              <w:top w:val="nil"/>
              <w:left w:val="single" w:sz="8" w:space="0" w:color="auto"/>
              <w:bottom w:val="nil"/>
              <w:right w:val="single" w:sz="8" w:space="0" w:color="auto"/>
            </w:tcBorders>
            <w:noWrap/>
            <w:tcMar>
              <w:top w:w="13" w:type="dxa"/>
              <w:left w:w="72" w:type="dxa"/>
              <w:bottom w:w="0" w:type="dxa"/>
              <w:right w:w="13" w:type="dxa"/>
            </w:tcMar>
          </w:tcPr>
          <w:p w:rsidR="005C3182" w:rsidRPr="00EA6A1F" w:rsidRDefault="005C3182" w:rsidP="002C11A4">
            <w:pPr>
              <w:spacing w:after="0"/>
              <w:ind w:left="326"/>
              <w:rPr>
                <w:sz w:val="18"/>
                <w:szCs w:val="18"/>
              </w:rPr>
            </w:pPr>
            <w:r w:rsidRPr="00EA6A1F">
              <w:rPr>
                <w:sz w:val="18"/>
                <w:szCs w:val="18"/>
              </w:rPr>
              <w:t>State Employees</w:t>
            </w:r>
          </w:p>
        </w:tc>
        <w:tc>
          <w:tcPr>
            <w:tcW w:w="3040" w:type="dxa"/>
            <w:tcBorders>
              <w:top w:val="nil"/>
              <w:left w:val="single" w:sz="4" w:space="0" w:color="auto"/>
              <w:bottom w:val="nil"/>
              <w:right w:val="single" w:sz="12" w:space="0" w:color="auto"/>
            </w:tcBorders>
          </w:tcPr>
          <w:p w:rsidR="005C3182" w:rsidRPr="00EA6A1F" w:rsidRDefault="00E77813" w:rsidP="002C11A4">
            <w:pPr>
              <w:tabs>
                <w:tab w:val="left" w:pos="-60"/>
              </w:tabs>
              <w:spacing w:after="0"/>
              <w:ind w:left="-60"/>
              <w:jc w:val="center"/>
              <w:rPr>
                <w:sz w:val="18"/>
                <w:szCs w:val="18"/>
              </w:rPr>
            </w:pPr>
            <w:r w:rsidRPr="00EA6A1F">
              <w:rPr>
                <w:sz w:val="18"/>
                <w:szCs w:val="18"/>
              </w:rPr>
              <w:t>12.33</w:t>
            </w:r>
            <w:r w:rsidR="005C3182" w:rsidRPr="00EA6A1F">
              <w:rPr>
                <w:sz w:val="18"/>
                <w:szCs w:val="18"/>
              </w:rPr>
              <w:t>%</w:t>
            </w:r>
          </w:p>
        </w:tc>
      </w:tr>
      <w:tr w:rsidR="005C3182" w:rsidRPr="00EA6A1F" w:rsidTr="002C11A4">
        <w:trPr>
          <w:gridBefore w:val="1"/>
          <w:wBefore w:w="20" w:type="dxa"/>
          <w:trHeight w:val="255"/>
          <w:jc w:val="center"/>
        </w:trPr>
        <w:tc>
          <w:tcPr>
            <w:tcW w:w="1114" w:type="dxa"/>
            <w:gridSpan w:val="2"/>
            <w:tcBorders>
              <w:top w:val="nil"/>
              <w:left w:val="single" w:sz="12" w:space="0" w:color="auto"/>
              <w:bottom w:val="nil"/>
              <w:right w:val="single" w:sz="8"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4194" w:type="dxa"/>
            <w:gridSpan w:val="2"/>
            <w:tcBorders>
              <w:top w:val="nil"/>
              <w:left w:val="single" w:sz="8" w:space="0" w:color="auto"/>
              <w:bottom w:val="nil"/>
              <w:right w:val="single" w:sz="8" w:space="0" w:color="auto"/>
            </w:tcBorders>
            <w:noWrap/>
            <w:tcMar>
              <w:top w:w="13" w:type="dxa"/>
              <w:left w:w="72" w:type="dxa"/>
              <w:bottom w:w="0" w:type="dxa"/>
              <w:right w:w="13" w:type="dxa"/>
            </w:tcMar>
          </w:tcPr>
          <w:p w:rsidR="005C3182" w:rsidRPr="00EA6A1F" w:rsidRDefault="005C3182" w:rsidP="002C11A4">
            <w:pPr>
              <w:spacing w:after="0"/>
              <w:ind w:left="326"/>
              <w:rPr>
                <w:sz w:val="18"/>
                <w:szCs w:val="18"/>
              </w:rPr>
            </w:pPr>
            <w:r w:rsidRPr="00EA6A1F">
              <w:rPr>
                <w:sz w:val="18"/>
                <w:szCs w:val="18"/>
              </w:rPr>
              <w:t>Virginia Law Officers Retirement (VaLORS)</w:t>
            </w:r>
          </w:p>
        </w:tc>
        <w:tc>
          <w:tcPr>
            <w:tcW w:w="3040" w:type="dxa"/>
            <w:tcBorders>
              <w:top w:val="nil"/>
              <w:left w:val="single" w:sz="4" w:space="0" w:color="auto"/>
              <w:bottom w:val="nil"/>
              <w:right w:val="single" w:sz="12" w:space="0" w:color="auto"/>
            </w:tcBorders>
          </w:tcPr>
          <w:p w:rsidR="005C3182" w:rsidRPr="00EA6A1F" w:rsidRDefault="003656DA" w:rsidP="002C11A4">
            <w:pPr>
              <w:tabs>
                <w:tab w:val="left" w:pos="-60"/>
              </w:tabs>
              <w:spacing w:after="0"/>
              <w:ind w:left="-60"/>
              <w:jc w:val="center"/>
              <w:rPr>
                <w:sz w:val="18"/>
                <w:szCs w:val="18"/>
              </w:rPr>
            </w:pPr>
            <w:r>
              <w:rPr>
                <w:sz w:val="18"/>
                <w:szCs w:val="18"/>
              </w:rPr>
              <w:t>17.67</w:t>
            </w:r>
            <w:r w:rsidR="005C3182" w:rsidRPr="00EA6A1F">
              <w:rPr>
                <w:sz w:val="18"/>
                <w:szCs w:val="18"/>
              </w:rPr>
              <w:t>%</w:t>
            </w:r>
          </w:p>
        </w:tc>
      </w:tr>
      <w:tr w:rsidR="005C3182" w:rsidRPr="00EA6A1F" w:rsidTr="002C11A4">
        <w:trPr>
          <w:gridBefore w:val="1"/>
          <w:wBefore w:w="20" w:type="dxa"/>
          <w:trHeight w:val="255"/>
          <w:jc w:val="center"/>
        </w:trPr>
        <w:tc>
          <w:tcPr>
            <w:tcW w:w="1114" w:type="dxa"/>
            <w:gridSpan w:val="2"/>
            <w:tcBorders>
              <w:top w:val="nil"/>
              <w:left w:val="single" w:sz="12" w:space="0" w:color="auto"/>
              <w:bottom w:val="nil"/>
              <w:right w:val="single" w:sz="8"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4194" w:type="dxa"/>
            <w:gridSpan w:val="2"/>
            <w:tcBorders>
              <w:top w:val="nil"/>
              <w:left w:val="single" w:sz="8" w:space="0" w:color="auto"/>
              <w:bottom w:val="nil"/>
              <w:right w:val="single" w:sz="8" w:space="0" w:color="auto"/>
            </w:tcBorders>
            <w:noWrap/>
            <w:tcMar>
              <w:top w:w="13" w:type="dxa"/>
              <w:left w:w="72" w:type="dxa"/>
              <w:bottom w:w="0" w:type="dxa"/>
              <w:right w:w="13" w:type="dxa"/>
            </w:tcMar>
          </w:tcPr>
          <w:p w:rsidR="005C3182" w:rsidRPr="00EA6A1F" w:rsidRDefault="005C3182" w:rsidP="002C11A4">
            <w:pPr>
              <w:spacing w:after="0"/>
              <w:ind w:left="326"/>
              <w:rPr>
                <w:sz w:val="18"/>
                <w:szCs w:val="18"/>
              </w:rPr>
            </w:pPr>
            <w:r w:rsidRPr="00EA6A1F">
              <w:rPr>
                <w:sz w:val="18"/>
                <w:szCs w:val="18"/>
              </w:rPr>
              <w:t>State Police (SPORS)</w:t>
            </w:r>
          </w:p>
        </w:tc>
        <w:tc>
          <w:tcPr>
            <w:tcW w:w="3040" w:type="dxa"/>
            <w:tcBorders>
              <w:top w:val="nil"/>
              <w:left w:val="single" w:sz="4" w:space="0" w:color="auto"/>
              <w:bottom w:val="nil"/>
              <w:right w:val="single" w:sz="12" w:space="0" w:color="auto"/>
            </w:tcBorders>
          </w:tcPr>
          <w:p w:rsidR="005C3182" w:rsidRPr="00EA6A1F" w:rsidRDefault="003656DA" w:rsidP="002C11A4">
            <w:pPr>
              <w:tabs>
                <w:tab w:val="left" w:pos="-60"/>
              </w:tabs>
              <w:spacing w:after="0"/>
              <w:ind w:left="-60"/>
              <w:jc w:val="center"/>
              <w:rPr>
                <w:sz w:val="18"/>
                <w:szCs w:val="18"/>
              </w:rPr>
            </w:pPr>
            <w:r>
              <w:rPr>
                <w:sz w:val="18"/>
                <w:szCs w:val="18"/>
              </w:rPr>
              <w:t>25.82</w:t>
            </w:r>
            <w:r w:rsidR="005C3182" w:rsidRPr="00EA6A1F">
              <w:rPr>
                <w:sz w:val="18"/>
                <w:szCs w:val="18"/>
              </w:rPr>
              <w:t>%</w:t>
            </w:r>
          </w:p>
        </w:tc>
      </w:tr>
      <w:tr w:rsidR="005C3182" w:rsidRPr="00EA6A1F" w:rsidTr="002C11A4">
        <w:trPr>
          <w:gridBefore w:val="1"/>
          <w:wBefore w:w="20" w:type="dxa"/>
          <w:trHeight w:val="167"/>
          <w:jc w:val="center"/>
        </w:trPr>
        <w:tc>
          <w:tcPr>
            <w:tcW w:w="1114" w:type="dxa"/>
            <w:gridSpan w:val="2"/>
            <w:tcBorders>
              <w:top w:val="nil"/>
              <w:left w:val="single" w:sz="12" w:space="0" w:color="auto"/>
              <w:bottom w:val="single" w:sz="8" w:space="0" w:color="auto"/>
              <w:right w:val="single" w:sz="8"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4194" w:type="dxa"/>
            <w:gridSpan w:val="2"/>
            <w:tcBorders>
              <w:top w:val="nil"/>
              <w:left w:val="single" w:sz="8" w:space="0" w:color="auto"/>
              <w:bottom w:val="single" w:sz="8" w:space="0" w:color="auto"/>
              <w:right w:val="single" w:sz="8" w:space="0" w:color="auto"/>
            </w:tcBorders>
            <w:noWrap/>
            <w:tcMar>
              <w:top w:w="13" w:type="dxa"/>
              <w:left w:w="72" w:type="dxa"/>
              <w:bottom w:w="0" w:type="dxa"/>
              <w:right w:w="13" w:type="dxa"/>
            </w:tcMar>
          </w:tcPr>
          <w:p w:rsidR="005C3182" w:rsidRPr="00EA6A1F" w:rsidRDefault="005C3182" w:rsidP="002C11A4">
            <w:pPr>
              <w:spacing w:after="0"/>
              <w:ind w:left="326"/>
              <w:rPr>
                <w:sz w:val="18"/>
                <w:szCs w:val="18"/>
              </w:rPr>
            </w:pPr>
            <w:r w:rsidRPr="00EA6A1F">
              <w:rPr>
                <w:sz w:val="18"/>
                <w:szCs w:val="18"/>
              </w:rPr>
              <w:t>Judges (JRS)</w:t>
            </w:r>
          </w:p>
        </w:tc>
        <w:tc>
          <w:tcPr>
            <w:tcW w:w="3040" w:type="dxa"/>
            <w:tcBorders>
              <w:top w:val="nil"/>
              <w:left w:val="single" w:sz="4" w:space="0" w:color="auto"/>
              <w:bottom w:val="single" w:sz="8" w:space="0" w:color="auto"/>
              <w:right w:val="single" w:sz="12" w:space="0" w:color="auto"/>
            </w:tcBorders>
          </w:tcPr>
          <w:p w:rsidR="005C3182" w:rsidRPr="00EA6A1F" w:rsidRDefault="00E77813" w:rsidP="002C11A4">
            <w:pPr>
              <w:tabs>
                <w:tab w:val="left" w:pos="-60"/>
              </w:tabs>
              <w:spacing w:after="0"/>
              <w:ind w:left="-60"/>
              <w:jc w:val="center"/>
              <w:rPr>
                <w:sz w:val="18"/>
                <w:szCs w:val="18"/>
              </w:rPr>
            </w:pPr>
            <w:r w:rsidRPr="00EA6A1F">
              <w:rPr>
                <w:sz w:val="18"/>
                <w:szCs w:val="18"/>
              </w:rPr>
              <w:t>51.66</w:t>
            </w:r>
            <w:r w:rsidR="005C3182" w:rsidRPr="00EA6A1F">
              <w:rPr>
                <w:sz w:val="18"/>
                <w:szCs w:val="18"/>
              </w:rPr>
              <w:t>%</w:t>
            </w:r>
          </w:p>
        </w:tc>
      </w:tr>
      <w:tr w:rsidR="005C3182" w:rsidRPr="00EA6A1F" w:rsidTr="002C11A4">
        <w:trPr>
          <w:gridBefore w:val="1"/>
          <w:wBefore w:w="20" w:type="dxa"/>
          <w:trHeight w:val="117"/>
          <w:jc w:val="center"/>
        </w:trPr>
        <w:tc>
          <w:tcPr>
            <w:tcW w:w="1114" w:type="dxa"/>
            <w:gridSpan w:val="2"/>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1112</w:t>
            </w:r>
          </w:p>
        </w:tc>
        <w:tc>
          <w:tcPr>
            <w:tcW w:w="4194"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 xml:space="preserve">Social Security </w:t>
            </w:r>
            <w:r w:rsidRPr="00EA6A1F">
              <w:rPr>
                <w:rFonts w:cs="Arial"/>
                <w:b/>
                <w:bCs/>
                <w:sz w:val="18"/>
                <w:szCs w:val="18"/>
                <w:vertAlign w:val="superscript"/>
              </w:rPr>
              <w:t>2</w:t>
            </w:r>
          </w:p>
        </w:tc>
        <w:tc>
          <w:tcPr>
            <w:tcW w:w="3040" w:type="dxa"/>
            <w:tcBorders>
              <w:top w:val="single" w:sz="8" w:space="0" w:color="auto"/>
              <w:left w:val="single" w:sz="4" w:space="0" w:color="auto"/>
              <w:bottom w:val="single" w:sz="8" w:space="0" w:color="auto"/>
              <w:right w:val="single" w:sz="12" w:space="0" w:color="auto"/>
            </w:tcBorders>
          </w:tcPr>
          <w:p w:rsidR="005C3182" w:rsidRPr="00EA6A1F" w:rsidRDefault="005C3182" w:rsidP="002C11A4">
            <w:pPr>
              <w:tabs>
                <w:tab w:val="left" w:pos="-60"/>
              </w:tabs>
              <w:spacing w:after="0"/>
              <w:ind w:left="-60"/>
              <w:jc w:val="center"/>
              <w:rPr>
                <w:sz w:val="18"/>
                <w:szCs w:val="18"/>
              </w:rPr>
            </w:pPr>
            <w:r w:rsidRPr="00EA6A1F">
              <w:rPr>
                <w:sz w:val="18"/>
                <w:szCs w:val="18"/>
              </w:rPr>
              <w:t xml:space="preserve">6.20% </w:t>
            </w:r>
            <w:r w:rsidRPr="00EA6A1F">
              <w:rPr>
                <w:b/>
                <w:bCs/>
                <w:sz w:val="18"/>
                <w:szCs w:val="18"/>
              </w:rPr>
              <w:t>capped</w:t>
            </w:r>
            <w:r w:rsidRPr="00EA6A1F">
              <w:rPr>
                <w:sz w:val="18"/>
                <w:szCs w:val="18"/>
              </w:rPr>
              <w:t xml:space="preserve"> at $113,700</w:t>
            </w:r>
          </w:p>
        </w:tc>
      </w:tr>
      <w:tr w:rsidR="005C3182" w:rsidRPr="00EA6A1F" w:rsidTr="002C11A4">
        <w:trPr>
          <w:gridBefore w:val="1"/>
          <w:wBefore w:w="20" w:type="dxa"/>
          <w:trHeight w:val="153"/>
          <w:jc w:val="center"/>
        </w:trPr>
        <w:tc>
          <w:tcPr>
            <w:tcW w:w="1114" w:type="dxa"/>
            <w:gridSpan w:val="2"/>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1112</w:t>
            </w:r>
          </w:p>
        </w:tc>
        <w:tc>
          <w:tcPr>
            <w:tcW w:w="4194"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Medicare</w:t>
            </w:r>
          </w:p>
        </w:tc>
        <w:tc>
          <w:tcPr>
            <w:tcW w:w="3040" w:type="dxa"/>
            <w:tcBorders>
              <w:top w:val="single" w:sz="8" w:space="0" w:color="auto"/>
              <w:left w:val="single" w:sz="4" w:space="0" w:color="auto"/>
              <w:bottom w:val="single" w:sz="8" w:space="0" w:color="auto"/>
              <w:right w:val="single" w:sz="12" w:space="0" w:color="auto"/>
            </w:tcBorders>
          </w:tcPr>
          <w:p w:rsidR="005C3182" w:rsidRPr="00EA6A1F" w:rsidRDefault="005C3182" w:rsidP="002C11A4">
            <w:pPr>
              <w:tabs>
                <w:tab w:val="left" w:pos="-60"/>
              </w:tabs>
              <w:spacing w:after="0"/>
              <w:ind w:left="-60"/>
              <w:jc w:val="center"/>
              <w:rPr>
                <w:sz w:val="18"/>
                <w:szCs w:val="18"/>
              </w:rPr>
            </w:pPr>
            <w:r w:rsidRPr="00EA6A1F">
              <w:rPr>
                <w:sz w:val="18"/>
                <w:szCs w:val="18"/>
              </w:rPr>
              <w:t>1.45%</w:t>
            </w:r>
          </w:p>
        </w:tc>
      </w:tr>
      <w:tr w:rsidR="005C3182" w:rsidRPr="00EA6A1F" w:rsidTr="002C11A4">
        <w:trPr>
          <w:gridBefore w:val="1"/>
          <w:wBefore w:w="20" w:type="dxa"/>
          <w:trHeight w:val="153"/>
          <w:jc w:val="center"/>
        </w:trPr>
        <w:tc>
          <w:tcPr>
            <w:tcW w:w="1114" w:type="dxa"/>
            <w:gridSpan w:val="2"/>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1114</w:t>
            </w:r>
          </w:p>
        </w:tc>
        <w:tc>
          <w:tcPr>
            <w:tcW w:w="4194" w:type="dxa"/>
            <w:gridSpan w:val="2"/>
            <w:tcBorders>
              <w:top w:val="single" w:sz="8" w:space="0" w:color="auto"/>
              <w:left w:val="single" w:sz="8" w:space="0" w:color="auto"/>
              <w:bottom w:val="single" w:sz="4" w:space="0" w:color="auto"/>
              <w:right w:val="single" w:sz="8"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Group Life</w:t>
            </w:r>
          </w:p>
        </w:tc>
        <w:tc>
          <w:tcPr>
            <w:tcW w:w="3040" w:type="dxa"/>
            <w:tcBorders>
              <w:top w:val="single" w:sz="8" w:space="0" w:color="auto"/>
              <w:left w:val="single" w:sz="4" w:space="0" w:color="auto"/>
              <w:bottom w:val="single" w:sz="8" w:space="0" w:color="auto"/>
              <w:right w:val="single" w:sz="12" w:space="0" w:color="auto"/>
            </w:tcBorders>
          </w:tcPr>
          <w:p w:rsidR="005C3182" w:rsidRPr="00EA6A1F" w:rsidRDefault="00723C69" w:rsidP="002C11A4">
            <w:pPr>
              <w:tabs>
                <w:tab w:val="left" w:pos="-60"/>
              </w:tabs>
              <w:spacing w:after="0"/>
              <w:ind w:left="-60"/>
              <w:jc w:val="center"/>
              <w:rPr>
                <w:sz w:val="18"/>
                <w:szCs w:val="18"/>
              </w:rPr>
            </w:pPr>
            <w:r>
              <w:rPr>
                <w:sz w:val="18"/>
                <w:szCs w:val="18"/>
              </w:rPr>
              <w:t>1.19</w:t>
            </w:r>
            <w:r w:rsidR="005C3182" w:rsidRPr="00EA6A1F">
              <w:rPr>
                <w:sz w:val="18"/>
                <w:szCs w:val="18"/>
              </w:rPr>
              <w:t>%</w:t>
            </w:r>
          </w:p>
        </w:tc>
      </w:tr>
      <w:tr w:rsidR="005C3182" w:rsidRPr="00EA6A1F" w:rsidTr="002C11A4">
        <w:trPr>
          <w:gridBefore w:val="1"/>
          <w:wBefore w:w="20" w:type="dxa"/>
          <w:trHeight w:val="180"/>
          <w:jc w:val="center"/>
        </w:trPr>
        <w:tc>
          <w:tcPr>
            <w:tcW w:w="1114" w:type="dxa"/>
            <w:gridSpan w:val="2"/>
            <w:tcBorders>
              <w:top w:val="single" w:sz="8" w:space="0" w:color="auto"/>
              <w:left w:val="single" w:sz="12" w:space="0" w:color="auto"/>
              <w:bottom w:val="nil"/>
              <w:right w:val="single" w:sz="4"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1115</w:t>
            </w:r>
          </w:p>
        </w:tc>
        <w:tc>
          <w:tcPr>
            <w:tcW w:w="4194" w:type="dxa"/>
            <w:gridSpan w:val="2"/>
            <w:tcBorders>
              <w:top w:val="single" w:sz="4" w:space="0" w:color="auto"/>
              <w:left w:val="single" w:sz="4" w:space="0" w:color="auto"/>
              <w:right w:val="single" w:sz="4"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 xml:space="preserve">Annual Employer Health Insurance Premiums </w:t>
            </w:r>
          </w:p>
        </w:tc>
        <w:tc>
          <w:tcPr>
            <w:tcW w:w="3040" w:type="dxa"/>
            <w:tcBorders>
              <w:top w:val="single" w:sz="8" w:space="0" w:color="auto"/>
              <w:left w:val="single" w:sz="4" w:space="0" w:color="auto"/>
              <w:bottom w:val="nil"/>
              <w:right w:val="single" w:sz="12" w:space="0" w:color="auto"/>
            </w:tcBorders>
          </w:tcPr>
          <w:p w:rsidR="005C3182" w:rsidRPr="00EA6A1F" w:rsidRDefault="005C3182" w:rsidP="002C11A4">
            <w:pPr>
              <w:tabs>
                <w:tab w:val="left" w:pos="-60"/>
              </w:tabs>
              <w:spacing w:after="0"/>
              <w:ind w:left="-60"/>
              <w:jc w:val="center"/>
              <w:rPr>
                <w:sz w:val="18"/>
                <w:szCs w:val="18"/>
              </w:rPr>
            </w:pPr>
          </w:p>
        </w:tc>
      </w:tr>
      <w:tr w:rsidR="005C3182" w:rsidRPr="00EA6A1F" w:rsidTr="002C11A4">
        <w:trPr>
          <w:trHeight w:val="255"/>
          <w:jc w:val="center"/>
        </w:trPr>
        <w:tc>
          <w:tcPr>
            <w:tcW w:w="1122"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72" w:type="dxa"/>
            <w:gridSpan w:val="2"/>
            <w:vMerge w:val="restart"/>
            <w:tcBorders>
              <w:left w:val="single" w:sz="4" w:space="0" w:color="auto"/>
            </w:tcBorders>
            <w:noWrap/>
            <w:tcMar>
              <w:top w:w="13" w:type="dxa"/>
              <w:left w:w="72" w:type="dxa"/>
              <w:bottom w:w="0" w:type="dxa"/>
              <w:right w:w="13" w:type="dxa"/>
            </w:tcMar>
          </w:tcPr>
          <w:p w:rsidR="005C3182" w:rsidRPr="00EA6A1F" w:rsidRDefault="005C3182" w:rsidP="002C11A4">
            <w:pPr>
              <w:spacing w:after="0"/>
              <w:ind w:left="344" w:right="162"/>
              <w:rPr>
                <w:sz w:val="18"/>
                <w:szCs w:val="18"/>
              </w:rPr>
            </w:pPr>
            <w:r w:rsidRPr="00EA6A1F">
              <w:rPr>
                <w:b/>
                <w:i/>
                <w:sz w:val="18"/>
                <w:szCs w:val="18"/>
              </w:rPr>
              <w:t xml:space="preserve">COVA Care </w:t>
            </w:r>
          </w:p>
        </w:tc>
        <w:tc>
          <w:tcPr>
            <w:tcW w:w="1530" w:type="dxa"/>
            <w:tcBorders>
              <w:top w:val="nil"/>
              <w:left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Single</w:t>
            </w:r>
          </w:p>
        </w:tc>
        <w:tc>
          <w:tcPr>
            <w:tcW w:w="3040" w:type="dxa"/>
            <w:tcBorders>
              <w:top w:val="nil"/>
              <w:left w:val="single" w:sz="4" w:space="0" w:color="auto"/>
              <w:bottom w:val="nil"/>
              <w:right w:val="single" w:sz="12" w:space="0" w:color="auto"/>
            </w:tcBorders>
          </w:tcPr>
          <w:p w:rsidR="005C3182" w:rsidRPr="00EA6A1F" w:rsidRDefault="005C3182" w:rsidP="00E77813">
            <w:pPr>
              <w:tabs>
                <w:tab w:val="left" w:pos="-60"/>
              </w:tabs>
              <w:spacing w:after="0"/>
              <w:ind w:left="-60"/>
              <w:jc w:val="center"/>
              <w:rPr>
                <w:sz w:val="18"/>
                <w:szCs w:val="18"/>
              </w:rPr>
            </w:pPr>
            <w:r w:rsidRPr="00EA6A1F">
              <w:rPr>
                <w:sz w:val="18"/>
                <w:szCs w:val="18"/>
              </w:rPr>
              <w:t>$6,</w:t>
            </w:r>
            <w:r w:rsidR="00E77813" w:rsidRPr="00EA6A1F">
              <w:rPr>
                <w:sz w:val="18"/>
                <w:szCs w:val="18"/>
              </w:rPr>
              <w:t>348</w:t>
            </w:r>
          </w:p>
        </w:tc>
      </w:tr>
      <w:tr w:rsidR="005C3182" w:rsidRPr="00EA6A1F" w:rsidTr="002C11A4">
        <w:trPr>
          <w:trHeight w:val="255"/>
          <w:jc w:val="center"/>
        </w:trPr>
        <w:tc>
          <w:tcPr>
            <w:tcW w:w="1122"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72" w:type="dxa"/>
            <w:gridSpan w:val="2"/>
            <w:vMerge/>
            <w:tcBorders>
              <w:left w:val="single" w:sz="4" w:space="0" w:color="auto"/>
            </w:tcBorders>
            <w:noWrap/>
            <w:tcMar>
              <w:top w:w="13" w:type="dxa"/>
              <w:left w:w="72" w:type="dxa"/>
              <w:bottom w:w="0" w:type="dxa"/>
              <w:right w:w="13" w:type="dxa"/>
            </w:tcMar>
          </w:tcPr>
          <w:p w:rsidR="005C3182" w:rsidRPr="00EA6A1F" w:rsidRDefault="005C3182" w:rsidP="002C11A4">
            <w:pPr>
              <w:tabs>
                <w:tab w:val="left" w:pos="496"/>
              </w:tabs>
              <w:spacing w:after="0"/>
              <w:rPr>
                <w:sz w:val="18"/>
                <w:szCs w:val="18"/>
              </w:rPr>
            </w:pPr>
          </w:p>
        </w:tc>
        <w:tc>
          <w:tcPr>
            <w:tcW w:w="1530" w:type="dxa"/>
            <w:tcBorders>
              <w:top w:val="nil"/>
              <w:left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Employee + One</w:t>
            </w:r>
          </w:p>
        </w:tc>
        <w:tc>
          <w:tcPr>
            <w:tcW w:w="3040" w:type="dxa"/>
            <w:tcBorders>
              <w:top w:val="nil"/>
              <w:left w:val="single" w:sz="4" w:space="0" w:color="auto"/>
              <w:bottom w:val="nil"/>
              <w:right w:val="single" w:sz="12" w:space="0" w:color="auto"/>
            </w:tcBorders>
          </w:tcPr>
          <w:p w:rsidR="005C3182" w:rsidRPr="00EA6A1F" w:rsidRDefault="005C3182" w:rsidP="00E77813">
            <w:pPr>
              <w:tabs>
                <w:tab w:val="left" w:pos="-60"/>
              </w:tabs>
              <w:spacing w:after="0"/>
              <w:ind w:left="-60"/>
              <w:jc w:val="center"/>
              <w:rPr>
                <w:sz w:val="18"/>
                <w:szCs w:val="18"/>
              </w:rPr>
            </w:pPr>
            <w:r w:rsidRPr="00EA6A1F">
              <w:rPr>
                <w:sz w:val="18"/>
                <w:szCs w:val="18"/>
              </w:rPr>
              <w:t>$</w:t>
            </w:r>
            <w:r w:rsidR="00E77813" w:rsidRPr="00EA6A1F">
              <w:rPr>
                <w:sz w:val="18"/>
                <w:szCs w:val="18"/>
              </w:rPr>
              <w:t>11,376</w:t>
            </w:r>
          </w:p>
        </w:tc>
      </w:tr>
      <w:tr w:rsidR="005C3182" w:rsidRPr="00EA6A1F" w:rsidTr="002C11A4">
        <w:trPr>
          <w:gridBefore w:val="1"/>
          <w:wBefore w:w="20" w:type="dxa"/>
          <w:trHeight w:val="230"/>
          <w:jc w:val="center"/>
        </w:trPr>
        <w:tc>
          <w:tcPr>
            <w:tcW w:w="111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64" w:type="dxa"/>
            <w:tcBorders>
              <w:left w:val="single" w:sz="4" w:space="0" w:color="auto"/>
            </w:tcBorders>
            <w:noWrap/>
            <w:tcMar>
              <w:top w:w="13" w:type="dxa"/>
              <w:left w:w="72" w:type="dxa"/>
              <w:bottom w:w="0" w:type="dxa"/>
              <w:right w:w="13" w:type="dxa"/>
            </w:tcMar>
          </w:tcPr>
          <w:p w:rsidR="005C3182" w:rsidRPr="00EA6A1F" w:rsidRDefault="005C3182" w:rsidP="002C11A4">
            <w:pPr>
              <w:tabs>
                <w:tab w:val="left" w:pos="496"/>
              </w:tabs>
              <w:spacing w:after="0"/>
              <w:rPr>
                <w:sz w:val="18"/>
                <w:szCs w:val="18"/>
              </w:rPr>
            </w:pPr>
          </w:p>
        </w:tc>
        <w:tc>
          <w:tcPr>
            <w:tcW w:w="1530" w:type="dxa"/>
            <w:tcBorders>
              <w:top w:val="nil"/>
              <w:left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Family</w:t>
            </w:r>
          </w:p>
        </w:tc>
        <w:tc>
          <w:tcPr>
            <w:tcW w:w="3040" w:type="dxa"/>
            <w:tcBorders>
              <w:top w:val="nil"/>
              <w:left w:val="single" w:sz="4" w:space="0" w:color="auto"/>
              <w:bottom w:val="nil"/>
              <w:right w:val="single" w:sz="12" w:space="0" w:color="auto"/>
            </w:tcBorders>
          </w:tcPr>
          <w:p w:rsidR="005C3182" w:rsidRPr="00EA6A1F" w:rsidRDefault="005C3182" w:rsidP="00BB43ED">
            <w:pPr>
              <w:tabs>
                <w:tab w:val="left" w:pos="-60"/>
              </w:tabs>
              <w:spacing w:after="0"/>
              <w:ind w:left="-60"/>
              <w:jc w:val="center"/>
              <w:rPr>
                <w:sz w:val="18"/>
                <w:szCs w:val="18"/>
              </w:rPr>
            </w:pPr>
            <w:r w:rsidRPr="00EA6A1F">
              <w:rPr>
                <w:sz w:val="18"/>
                <w:szCs w:val="18"/>
              </w:rPr>
              <w:t>$</w:t>
            </w:r>
            <w:r w:rsidR="00BB43ED" w:rsidRPr="00EA6A1F">
              <w:rPr>
                <w:sz w:val="18"/>
                <w:szCs w:val="18"/>
              </w:rPr>
              <w:t>16,680</w:t>
            </w:r>
          </w:p>
        </w:tc>
      </w:tr>
      <w:tr w:rsidR="005C3182" w:rsidRPr="00EA6A1F" w:rsidTr="002C11A4">
        <w:trPr>
          <w:gridBefore w:val="1"/>
          <w:wBefore w:w="20" w:type="dxa"/>
          <w:trHeight w:val="67"/>
          <w:jc w:val="center"/>
        </w:trPr>
        <w:tc>
          <w:tcPr>
            <w:tcW w:w="111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6"/>
                <w:szCs w:val="6"/>
              </w:rPr>
            </w:pPr>
          </w:p>
        </w:tc>
        <w:tc>
          <w:tcPr>
            <w:tcW w:w="2664" w:type="dxa"/>
            <w:tcBorders>
              <w:left w:val="single" w:sz="4" w:space="0" w:color="auto"/>
            </w:tcBorders>
            <w:noWrap/>
            <w:tcMar>
              <w:top w:w="13" w:type="dxa"/>
              <w:left w:w="72" w:type="dxa"/>
              <w:bottom w:w="0" w:type="dxa"/>
              <w:right w:w="13" w:type="dxa"/>
            </w:tcMar>
          </w:tcPr>
          <w:p w:rsidR="005C3182" w:rsidRPr="00EA6A1F" w:rsidRDefault="005C3182" w:rsidP="002C11A4">
            <w:pPr>
              <w:tabs>
                <w:tab w:val="left" w:pos="496"/>
              </w:tabs>
              <w:spacing w:after="0"/>
              <w:rPr>
                <w:sz w:val="6"/>
                <w:szCs w:val="6"/>
              </w:rPr>
            </w:pP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6"/>
                <w:szCs w:val="6"/>
              </w:rPr>
            </w:pPr>
          </w:p>
        </w:tc>
        <w:tc>
          <w:tcPr>
            <w:tcW w:w="3040" w:type="dxa"/>
            <w:tcBorders>
              <w:top w:val="nil"/>
              <w:left w:val="single" w:sz="4" w:space="0" w:color="auto"/>
              <w:bottom w:val="nil"/>
              <w:right w:val="single" w:sz="12" w:space="0" w:color="auto"/>
            </w:tcBorders>
          </w:tcPr>
          <w:p w:rsidR="005C3182" w:rsidRPr="00EA6A1F" w:rsidRDefault="005C3182" w:rsidP="002C11A4">
            <w:pPr>
              <w:tabs>
                <w:tab w:val="left" w:pos="-60"/>
              </w:tabs>
              <w:spacing w:after="0"/>
              <w:ind w:left="-60"/>
              <w:jc w:val="center"/>
              <w:rPr>
                <w:sz w:val="6"/>
                <w:szCs w:val="6"/>
              </w:rPr>
            </w:pPr>
          </w:p>
        </w:tc>
      </w:tr>
      <w:tr w:rsidR="005C3182" w:rsidRPr="00EA6A1F" w:rsidTr="002C11A4">
        <w:trPr>
          <w:trHeight w:val="212"/>
          <w:jc w:val="center"/>
        </w:trPr>
        <w:tc>
          <w:tcPr>
            <w:tcW w:w="1122"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72" w:type="dxa"/>
            <w:gridSpan w:val="2"/>
            <w:vMerge w:val="restart"/>
            <w:tcBorders>
              <w:left w:val="single" w:sz="4" w:space="0" w:color="auto"/>
            </w:tcBorders>
            <w:noWrap/>
            <w:tcMar>
              <w:top w:w="13" w:type="dxa"/>
              <w:left w:w="72" w:type="dxa"/>
              <w:bottom w:w="0" w:type="dxa"/>
              <w:right w:w="13" w:type="dxa"/>
            </w:tcMar>
          </w:tcPr>
          <w:p w:rsidR="005C3182" w:rsidRPr="00EA6A1F" w:rsidRDefault="005C3182" w:rsidP="002C11A4">
            <w:pPr>
              <w:spacing w:after="0"/>
              <w:ind w:left="344" w:right="162"/>
              <w:rPr>
                <w:b/>
                <w:i/>
                <w:sz w:val="18"/>
                <w:szCs w:val="18"/>
              </w:rPr>
            </w:pPr>
            <w:r w:rsidRPr="00EA6A1F">
              <w:rPr>
                <w:b/>
                <w:i/>
                <w:sz w:val="18"/>
                <w:szCs w:val="18"/>
              </w:rPr>
              <w:t>COVA High Deductible</w:t>
            </w: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Single</w:t>
            </w:r>
          </w:p>
        </w:tc>
        <w:tc>
          <w:tcPr>
            <w:tcW w:w="3040" w:type="dxa"/>
            <w:tcBorders>
              <w:top w:val="nil"/>
              <w:left w:val="single" w:sz="4" w:space="0" w:color="auto"/>
              <w:bottom w:val="nil"/>
              <w:right w:val="single" w:sz="12" w:space="0" w:color="auto"/>
            </w:tcBorders>
          </w:tcPr>
          <w:p w:rsidR="005C3182" w:rsidRPr="00EA6A1F" w:rsidRDefault="005C3182" w:rsidP="00BB43ED">
            <w:pPr>
              <w:tabs>
                <w:tab w:val="left" w:pos="-60"/>
              </w:tabs>
              <w:spacing w:after="0"/>
              <w:ind w:left="-60"/>
              <w:jc w:val="center"/>
              <w:rPr>
                <w:sz w:val="18"/>
                <w:szCs w:val="18"/>
              </w:rPr>
            </w:pPr>
            <w:r w:rsidRPr="00EA6A1F">
              <w:rPr>
                <w:sz w:val="18"/>
                <w:szCs w:val="18"/>
              </w:rPr>
              <w:t>$5,</w:t>
            </w:r>
            <w:r w:rsidR="00BB43ED" w:rsidRPr="00EA6A1F">
              <w:rPr>
                <w:sz w:val="18"/>
                <w:szCs w:val="18"/>
              </w:rPr>
              <w:t>472</w:t>
            </w:r>
          </w:p>
        </w:tc>
      </w:tr>
      <w:tr w:rsidR="005C3182" w:rsidRPr="00EA6A1F" w:rsidTr="002C11A4">
        <w:trPr>
          <w:trHeight w:val="255"/>
          <w:jc w:val="center"/>
        </w:trPr>
        <w:tc>
          <w:tcPr>
            <w:tcW w:w="1122"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72" w:type="dxa"/>
            <w:gridSpan w:val="2"/>
            <w:vMerge/>
            <w:tcBorders>
              <w:left w:val="single" w:sz="4" w:space="0" w:color="auto"/>
              <w:bottom w:val="nil"/>
            </w:tcBorders>
            <w:noWrap/>
            <w:tcMar>
              <w:top w:w="13" w:type="dxa"/>
              <w:left w:w="72" w:type="dxa"/>
              <w:bottom w:w="0" w:type="dxa"/>
              <w:right w:w="13" w:type="dxa"/>
            </w:tcMar>
          </w:tcPr>
          <w:p w:rsidR="005C3182" w:rsidRPr="00EA6A1F" w:rsidRDefault="005C3182" w:rsidP="002C11A4">
            <w:pPr>
              <w:tabs>
                <w:tab w:val="left" w:pos="496"/>
              </w:tabs>
              <w:spacing w:after="0"/>
              <w:rPr>
                <w:sz w:val="18"/>
                <w:szCs w:val="18"/>
              </w:rPr>
            </w:pP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Employee + One</w:t>
            </w:r>
          </w:p>
        </w:tc>
        <w:tc>
          <w:tcPr>
            <w:tcW w:w="3040" w:type="dxa"/>
            <w:tcBorders>
              <w:top w:val="nil"/>
              <w:left w:val="single" w:sz="4" w:space="0" w:color="auto"/>
              <w:bottom w:val="nil"/>
              <w:right w:val="single" w:sz="12" w:space="0" w:color="auto"/>
            </w:tcBorders>
          </w:tcPr>
          <w:p w:rsidR="005C3182" w:rsidRPr="00EA6A1F" w:rsidRDefault="005C3182" w:rsidP="00BB43ED">
            <w:pPr>
              <w:tabs>
                <w:tab w:val="left" w:pos="-60"/>
              </w:tabs>
              <w:spacing w:after="0"/>
              <w:ind w:left="-60"/>
              <w:jc w:val="center"/>
              <w:rPr>
                <w:sz w:val="18"/>
                <w:szCs w:val="18"/>
              </w:rPr>
            </w:pPr>
            <w:r w:rsidRPr="00EA6A1F">
              <w:rPr>
                <w:sz w:val="18"/>
                <w:szCs w:val="18"/>
              </w:rPr>
              <w:t>$</w:t>
            </w:r>
            <w:r w:rsidR="00BB43ED" w:rsidRPr="00EA6A1F">
              <w:rPr>
                <w:sz w:val="18"/>
                <w:szCs w:val="18"/>
              </w:rPr>
              <w:t>10,164</w:t>
            </w:r>
          </w:p>
        </w:tc>
      </w:tr>
      <w:tr w:rsidR="005C3182" w:rsidRPr="00EA6A1F" w:rsidTr="002C11A4">
        <w:trPr>
          <w:gridBefore w:val="1"/>
          <w:wBefore w:w="20" w:type="dxa"/>
          <w:trHeight w:val="255"/>
          <w:jc w:val="center"/>
        </w:trPr>
        <w:tc>
          <w:tcPr>
            <w:tcW w:w="111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64" w:type="dxa"/>
            <w:tcBorders>
              <w:top w:val="nil"/>
              <w:left w:val="single" w:sz="4" w:space="0" w:color="auto"/>
              <w:bottom w:val="nil"/>
            </w:tcBorders>
            <w:noWrap/>
            <w:tcMar>
              <w:top w:w="13" w:type="dxa"/>
              <w:left w:w="72" w:type="dxa"/>
              <w:bottom w:w="0" w:type="dxa"/>
              <w:right w:w="13" w:type="dxa"/>
            </w:tcMar>
          </w:tcPr>
          <w:p w:rsidR="005C3182" w:rsidRPr="00EA6A1F" w:rsidRDefault="005C3182" w:rsidP="002C11A4">
            <w:pPr>
              <w:tabs>
                <w:tab w:val="left" w:pos="496"/>
              </w:tabs>
              <w:spacing w:after="0"/>
              <w:rPr>
                <w:sz w:val="18"/>
                <w:szCs w:val="18"/>
              </w:rPr>
            </w:pP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Family</w:t>
            </w:r>
          </w:p>
        </w:tc>
        <w:tc>
          <w:tcPr>
            <w:tcW w:w="3040" w:type="dxa"/>
            <w:tcBorders>
              <w:top w:val="nil"/>
              <w:left w:val="single" w:sz="4" w:space="0" w:color="auto"/>
              <w:bottom w:val="nil"/>
              <w:right w:val="single" w:sz="12" w:space="0" w:color="auto"/>
            </w:tcBorders>
          </w:tcPr>
          <w:p w:rsidR="005C3182" w:rsidRPr="00EA6A1F" w:rsidRDefault="005C3182" w:rsidP="00BB43ED">
            <w:pPr>
              <w:tabs>
                <w:tab w:val="left" w:pos="-60"/>
              </w:tabs>
              <w:spacing w:after="0"/>
              <w:ind w:left="-60"/>
              <w:jc w:val="center"/>
              <w:rPr>
                <w:sz w:val="18"/>
                <w:szCs w:val="18"/>
              </w:rPr>
            </w:pPr>
            <w:r w:rsidRPr="00EA6A1F">
              <w:rPr>
                <w:sz w:val="18"/>
                <w:szCs w:val="18"/>
              </w:rPr>
              <w:t>$14,</w:t>
            </w:r>
            <w:r w:rsidR="00BB43ED" w:rsidRPr="00EA6A1F">
              <w:rPr>
                <w:sz w:val="18"/>
                <w:szCs w:val="18"/>
              </w:rPr>
              <w:t>844</w:t>
            </w:r>
          </w:p>
        </w:tc>
      </w:tr>
      <w:tr w:rsidR="005C3182" w:rsidRPr="00EA6A1F" w:rsidTr="002C11A4">
        <w:trPr>
          <w:gridBefore w:val="1"/>
          <w:wBefore w:w="20" w:type="dxa"/>
          <w:trHeight w:val="77"/>
          <w:jc w:val="center"/>
        </w:trPr>
        <w:tc>
          <w:tcPr>
            <w:tcW w:w="111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6"/>
                <w:szCs w:val="6"/>
              </w:rPr>
            </w:pPr>
          </w:p>
        </w:tc>
        <w:tc>
          <w:tcPr>
            <w:tcW w:w="2664" w:type="dxa"/>
            <w:tcBorders>
              <w:top w:val="nil"/>
              <w:left w:val="single" w:sz="4" w:space="0" w:color="auto"/>
              <w:bottom w:val="nil"/>
            </w:tcBorders>
            <w:noWrap/>
            <w:tcMar>
              <w:top w:w="13" w:type="dxa"/>
              <w:left w:w="72" w:type="dxa"/>
              <w:bottom w:w="0" w:type="dxa"/>
              <w:right w:w="13" w:type="dxa"/>
            </w:tcMar>
          </w:tcPr>
          <w:p w:rsidR="005C3182" w:rsidRPr="00EA6A1F" w:rsidRDefault="005C3182" w:rsidP="002C11A4">
            <w:pPr>
              <w:tabs>
                <w:tab w:val="left" w:pos="496"/>
              </w:tabs>
              <w:spacing w:after="0"/>
              <w:rPr>
                <w:sz w:val="6"/>
                <w:szCs w:val="6"/>
              </w:rPr>
            </w:pP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6"/>
                <w:szCs w:val="6"/>
              </w:rPr>
            </w:pPr>
          </w:p>
        </w:tc>
        <w:tc>
          <w:tcPr>
            <w:tcW w:w="3040" w:type="dxa"/>
            <w:tcBorders>
              <w:top w:val="nil"/>
              <w:left w:val="single" w:sz="4" w:space="0" w:color="auto"/>
              <w:bottom w:val="nil"/>
              <w:right w:val="single" w:sz="12" w:space="0" w:color="auto"/>
            </w:tcBorders>
          </w:tcPr>
          <w:p w:rsidR="005C3182" w:rsidRPr="00EA6A1F" w:rsidRDefault="005C3182" w:rsidP="002C11A4">
            <w:pPr>
              <w:tabs>
                <w:tab w:val="left" w:pos="-60"/>
              </w:tabs>
              <w:spacing w:after="0"/>
              <w:ind w:left="-60"/>
              <w:jc w:val="center"/>
              <w:rPr>
                <w:sz w:val="6"/>
                <w:szCs w:val="6"/>
              </w:rPr>
            </w:pPr>
          </w:p>
        </w:tc>
      </w:tr>
      <w:tr w:rsidR="005C3182" w:rsidRPr="00EA6A1F" w:rsidTr="002C11A4">
        <w:trPr>
          <w:gridBefore w:val="1"/>
          <w:wBefore w:w="20" w:type="dxa"/>
          <w:trHeight w:val="255"/>
          <w:jc w:val="center"/>
        </w:trPr>
        <w:tc>
          <w:tcPr>
            <w:tcW w:w="111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64" w:type="dxa"/>
            <w:tcBorders>
              <w:top w:val="nil"/>
              <w:left w:val="single" w:sz="4" w:space="0" w:color="auto"/>
              <w:bottom w:val="nil"/>
            </w:tcBorders>
            <w:noWrap/>
            <w:tcMar>
              <w:top w:w="13" w:type="dxa"/>
              <w:left w:w="72" w:type="dxa"/>
              <w:bottom w:w="0" w:type="dxa"/>
              <w:right w:w="13" w:type="dxa"/>
            </w:tcMar>
          </w:tcPr>
          <w:p w:rsidR="005C3182" w:rsidRPr="00EA6A1F" w:rsidRDefault="005C3182" w:rsidP="002C11A4">
            <w:pPr>
              <w:tabs>
                <w:tab w:val="left" w:pos="326"/>
              </w:tabs>
              <w:spacing w:after="0"/>
              <w:ind w:left="326"/>
              <w:rPr>
                <w:b/>
                <w:i/>
                <w:sz w:val="18"/>
                <w:szCs w:val="18"/>
              </w:rPr>
            </w:pPr>
            <w:proofErr w:type="spellStart"/>
            <w:r w:rsidRPr="00EA6A1F">
              <w:rPr>
                <w:b/>
                <w:i/>
                <w:sz w:val="18"/>
                <w:szCs w:val="18"/>
              </w:rPr>
              <w:t>HealthAware</w:t>
            </w:r>
            <w:proofErr w:type="spellEnd"/>
          </w:p>
        </w:tc>
        <w:tc>
          <w:tcPr>
            <w:tcW w:w="1530" w:type="dxa"/>
            <w:tcBorders>
              <w:top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Single</w:t>
            </w:r>
          </w:p>
        </w:tc>
        <w:tc>
          <w:tcPr>
            <w:tcW w:w="3040" w:type="dxa"/>
            <w:tcBorders>
              <w:top w:val="nil"/>
              <w:left w:val="single" w:sz="4" w:space="0" w:color="auto"/>
              <w:bottom w:val="nil"/>
              <w:right w:val="single" w:sz="12" w:space="0" w:color="auto"/>
            </w:tcBorders>
          </w:tcPr>
          <w:p w:rsidR="005C3182" w:rsidRPr="00EA6A1F" w:rsidRDefault="005C3182" w:rsidP="00BB43ED">
            <w:pPr>
              <w:tabs>
                <w:tab w:val="left" w:pos="-60"/>
              </w:tabs>
              <w:spacing w:after="0"/>
              <w:ind w:left="-60"/>
              <w:jc w:val="center"/>
              <w:rPr>
                <w:sz w:val="18"/>
                <w:szCs w:val="18"/>
              </w:rPr>
            </w:pPr>
            <w:r w:rsidRPr="00EA6A1F">
              <w:rPr>
                <w:sz w:val="18"/>
                <w:szCs w:val="18"/>
              </w:rPr>
              <w:t>$</w:t>
            </w:r>
            <w:r w:rsidR="00BB43ED" w:rsidRPr="00EA6A1F">
              <w:rPr>
                <w:sz w:val="18"/>
                <w:szCs w:val="18"/>
              </w:rPr>
              <w:t>6,348</w:t>
            </w:r>
          </w:p>
        </w:tc>
      </w:tr>
      <w:tr w:rsidR="005C3182" w:rsidRPr="00EA6A1F" w:rsidTr="002C11A4">
        <w:trPr>
          <w:gridBefore w:val="1"/>
          <w:wBefore w:w="20" w:type="dxa"/>
          <w:trHeight w:val="255"/>
          <w:jc w:val="center"/>
        </w:trPr>
        <w:tc>
          <w:tcPr>
            <w:tcW w:w="111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64" w:type="dxa"/>
            <w:tcBorders>
              <w:top w:val="nil"/>
              <w:left w:val="single" w:sz="4" w:space="0" w:color="auto"/>
              <w:bottom w:val="nil"/>
            </w:tcBorders>
            <w:noWrap/>
            <w:tcMar>
              <w:top w:w="13" w:type="dxa"/>
              <w:left w:w="72" w:type="dxa"/>
              <w:bottom w:w="0" w:type="dxa"/>
              <w:right w:w="13" w:type="dxa"/>
            </w:tcMar>
          </w:tcPr>
          <w:p w:rsidR="005C3182" w:rsidRPr="00EA6A1F" w:rsidRDefault="005C3182" w:rsidP="002C11A4">
            <w:pPr>
              <w:tabs>
                <w:tab w:val="left" w:pos="496"/>
              </w:tabs>
              <w:spacing w:after="0"/>
              <w:rPr>
                <w:sz w:val="18"/>
                <w:szCs w:val="18"/>
              </w:rPr>
            </w:pP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Employee + One</w:t>
            </w:r>
          </w:p>
        </w:tc>
        <w:tc>
          <w:tcPr>
            <w:tcW w:w="3040" w:type="dxa"/>
            <w:tcBorders>
              <w:top w:val="nil"/>
              <w:left w:val="single" w:sz="4" w:space="0" w:color="auto"/>
              <w:bottom w:val="nil"/>
              <w:right w:val="single" w:sz="12" w:space="0" w:color="auto"/>
            </w:tcBorders>
          </w:tcPr>
          <w:p w:rsidR="005C3182" w:rsidRPr="00EA6A1F" w:rsidRDefault="005C3182" w:rsidP="00BB43ED">
            <w:pPr>
              <w:tabs>
                <w:tab w:val="left" w:pos="-60"/>
              </w:tabs>
              <w:spacing w:after="0"/>
              <w:ind w:left="-60"/>
              <w:jc w:val="center"/>
              <w:rPr>
                <w:sz w:val="18"/>
                <w:szCs w:val="18"/>
              </w:rPr>
            </w:pPr>
            <w:r w:rsidRPr="00EA6A1F">
              <w:rPr>
                <w:sz w:val="18"/>
                <w:szCs w:val="18"/>
              </w:rPr>
              <w:t>$</w:t>
            </w:r>
            <w:r w:rsidR="00BB43ED" w:rsidRPr="00EA6A1F">
              <w:rPr>
                <w:sz w:val="18"/>
                <w:szCs w:val="18"/>
              </w:rPr>
              <w:t>11,376</w:t>
            </w:r>
          </w:p>
        </w:tc>
      </w:tr>
      <w:tr w:rsidR="005C3182" w:rsidRPr="00EA6A1F" w:rsidTr="002C11A4">
        <w:trPr>
          <w:gridBefore w:val="1"/>
          <w:wBefore w:w="20" w:type="dxa"/>
          <w:trHeight w:val="255"/>
          <w:jc w:val="center"/>
        </w:trPr>
        <w:tc>
          <w:tcPr>
            <w:tcW w:w="111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64" w:type="dxa"/>
            <w:tcBorders>
              <w:top w:val="nil"/>
              <w:left w:val="single" w:sz="4" w:space="0" w:color="auto"/>
              <w:bottom w:val="nil"/>
            </w:tcBorders>
            <w:noWrap/>
            <w:tcMar>
              <w:top w:w="13" w:type="dxa"/>
              <w:left w:w="72" w:type="dxa"/>
              <w:bottom w:w="0" w:type="dxa"/>
              <w:right w:w="13" w:type="dxa"/>
            </w:tcMar>
          </w:tcPr>
          <w:p w:rsidR="005C3182" w:rsidRPr="00EA6A1F" w:rsidRDefault="005C3182" w:rsidP="002C11A4">
            <w:pPr>
              <w:tabs>
                <w:tab w:val="left" w:pos="496"/>
              </w:tabs>
              <w:spacing w:after="0"/>
              <w:rPr>
                <w:sz w:val="18"/>
                <w:szCs w:val="18"/>
              </w:rPr>
            </w:pP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Family</w:t>
            </w:r>
          </w:p>
        </w:tc>
        <w:tc>
          <w:tcPr>
            <w:tcW w:w="3040" w:type="dxa"/>
            <w:tcBorders>
              <w:top w:val="nil"/>
              <w:left w:val="single" w:sz="4" w:space="0" w:color="auto"/>
              <w:bottom w:val="nil"/>
              <w:right w:val="single" w:sz="12" w:space="0" w:color="auto"/>
            </w:tcBorders>
          </w:tcPr>
          <w:p w:rsidR="005C3182" w:rsidRPr="00EA6A1F" w:rsidRDefault="005C3182" w:rsidP="00BB43ED">
            <w:pPr>
              <w:tabs>
                <w:tab w:val="left" w:pos="-60"/>
              </w:tabs>
              <w:spacing w:after="0"/>
              <w:ind w:left="-60"/>
              <w:jc w:val="center"/>
              <w:rPr>
                <w:sz w:val="18"/>
                <w:szCs w:val="18"/>
              </w:rPr>
            </w:pPr>
            <w:r w:rsidRPr="00EA6A1F">
              <w:rPr>
                <w:sz w:val="18"/>
                <w:szCs w:val="18"/>
              </w:rPr>
              <w:t>$</w:t>
            </w:r>
            <w:r w:rsidR="00BB43ED" w:rsidRPr="00EA6A1F">
              <w:rPr>
                <w:sz w:val="18"/>
                <w:szCs w:val="18"/>
              </w:rPr>
              <w:t>16,680</w:t>
            </w:r>
          </w:p>
        </w:tc>
      </w:tr>
      <w:tr w:rsidR="005C3182" w:rsidRPr="00EA6A1F" w:rsidTr="002C11A4">
        <w:trPr>
          <w:gridBefore w:val="1"/>
          <w:wBefore w:w="20" w:type="dxa"/>
          <w:trHeight w:val="67"/>
          <w:jc w:val="center"/>
        </w:trPr>
        <w:tc>
          <w:tcPr>
            <w:tcW w:w="111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6"/>
                <w:szCs w:val="6"/>
              </w:rPr>
            </w:pPr>
          </w:p>
        </w:tc>
        <w:tc>
          <w:tcPr>
            <w:tcW w:w="2664" w:type="dxa"/>
            <w:tcBorders>
              <w:top w:val="nil"/>
              <w:left w:val="single" w:sz="4" w:space="0" w:color="auto"/>
              <w:bottom w:val="nil"/>
            </w:tcBorders>
            <w:noWrap/>
            <w:tcMar>
              <w:top w:w="13" w:type="dxa"/>
              <w:left w:w="72" w:type="dxa"/>
              <w:bottom w:w="0" w:type="dxa"/>
              <w:right w:w="13" w:type="dxa"/>
            </w:tcMar>
          </w:tcPr>
          <w:p w:rsidR="005C3182" w:rsidRPr="00EA6A1F" w:rsidRDefault="005C3182" w:rsidP="002C11A4">
            <w:pPr>
              <w:tabs>
                <w:tab w:val="left" w:pos="496"/>
              </w:tabs>
              <w:spacing w:after="0"/>
              <w:rPr>
                <w:sz w:val="6"/>
                <w:szCs w:val="6"/>
              </w:rPr>
            </w:pP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6"/>
                <w:szCs w:val="6"/>
              </w:rPr>
            </w:pPr>
          </w:p>
        </w:tc>
        <w:tc>
          <w:tcPr>
            <w:tcW w:w="3040" w:type="dxa"/>
            <w:tcBorders>
              <w:top w:val="nil"/>
              <w:left w:val="single" w:sz="4" w:space="0" w:color="auto"/>
              <w:bottom w:val="nil"/>
              <w:right w:val="single" w:sz="12" w:space="0" w:color="auto"/>
            </w:tcBorders>
          </w:tcPr>
          <w:p w:rsidR="005C3182" w:rsidRPr="00EA6A1F" w:rsidRDefault="005C3182" w:rsidP="002C11A4">
            <w:pPr>
              <w:tabs>
                <w:tab w:val="left" w:pos="-60"/>
              </w:tabs>
              <w:spacing w:after="0"/>
              <w:ind w:left="-60"/>
              <w:jc w:val="center"/>
              <w:rPr>
                <w:sz w:val="6"/>
                <w:szCs w:val="6"/>
              </w:rPr>
            </w:pPr>
          </w:p>
        </w:tc>
      </w:tr>
      <w:tr w:rsidR="005C3182" w:rsidRPr="00EA6A1F" w:rsidTr="002C11A4">
        <w:trPr>
          <w:trHeight w:val="255"/>
          <w:jc w:val="center"/>
        </w:trPr>
        <w:tc>
          <w:tcPr>
            <w:tcW w:w="112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74" w:type="dxa"/>
            <w:gridSpan w:val="2"/>
            <w:vMerge w:val="restart"/>
            <w:tcBorders>
              <w:top w:val="nil"/>
              <w:left w:val="single" w:sz="4" w:space="0" w:color="auto"/>
            </w:tcBorders>
            <w:noWrap/>
            <w:tcMar>
              <w:top w:w="13" w:type="dxa"/>
              <w:left w:w="72" w:type="dxa"/>
              <w:bottom w:w="0" w:type="dxa"/>
              <w:right w:w="13" w:type="dxa"/>
            </w:tcMar>
          </w:tcPr>
          <w:p w:rsidR="005C3182" w:rsidRPr="00EA6A1F" w:rsidRDefault="005C3182" w:rsidP="002C11A4">
            <w:pPr>
              <w:spacing w:after="0"/>
              <w:ind w:left="344" w:right="162"/>
              <w:rPr>
                <w:sz w:val="18"/>
                <w:szCs w:val="18"/>
              </w:rPr>
            </w:pPr>
            <w:r w:rsidRPr="00EA6A1F">
              <w:rPr>
                <w:b/>
                <w:i/>
                <w:sz w:val="18"/>
                <w:szCs w:val="18"/>
              </w:rPr>
              <w:t>Kaiser Permanente</w:t>
            </w: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Single</w:t>
            </w:r>
          </w:p>
        </w:tc>
        <w:tc>
          <w:tcPr>
            <w:tcW w:w="3040" w:type="dxa"/>
            <w:tcBorders>
              <w:top w:val="nil"/>
              <w:left w:val="single" w:sz="4" w:space="0" w:color="auto"/>
              <w:bottom w:val="nil"/>
              <w:right w:val="single" w:sz="12" w:space="0" w:color="auto"/>
            </w:tcBorders>
          </w:tcPr>
          <w:p w:rsidR="005C3182" w:rsidRPr="00EA6A1F" w:rsidRDefault="005C3182" w:rsidP="00BB43ED">
            <w:pPr>
              <w:tabs>
                <w:tab w:val="left" w:pos="-60"/>
              </w:tabs>
              <w:spacing w:after="0"/>
              <w:ind w:left="-60"/>
              <w:jc w:val="center"/>
              <w:rPr>
                <w:sz w:val="18"/>
                <w:szCs w:val="18"/>
              </w:rPr>
            </w:pPr>
            <w:r w:rsidRPr="00EA6A1F">
              <w:rPr>
                <w:sz w:val="18"/>
                <w:szCs w:val="18"/>
              </w:rPr>
              <w:t>$5,</w:t>
            </w:r>
            <w:r w:rsidR="00BB43ED" w:rsidRPr="00EA6A1F">
              <w:rPr>
                <w:sz w:val="18"/>
                <w:szCs w:val="18"/>
              </w:rPr>
              <w:t>892</w:t>
            </w:r>
          </w:p>
        </w:tc>
      </w:tr>
      <w:tr w:rsidR="005C3182" w:rsidRPr="00EA6A1F" w:rsidTr="002C11A4">
        <w:trPr>
          <w:trHeight w:val="255"/>
          <w:jc w:val="center"/>
        </w:trPr>
        <w:tc>
          <w:tcPr>
            <w:tcW w:w="112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74" w:type="dxa"/>
            <w:gridSpan w:val="2"/>
            <w:vMerge/>
            <w:tcBorders>
              <w:left w:val="single" w:sz="4" w:space="0" w:color="auto"/>
            </w:tcBorders>
            <w:noWrap/>
            <w:tcMar>
              <w:top w:w="13" w:type="dxa"/>
              <w:left w:w="72" w:type="dxa"/>
              <w:bottom w:w="0" w:type="dxa"/>
              <w:right w:w="13" w:type="dxa"/>
            </w:tcMar>
          </w:tcPr>
          <w:p w:rsidR="005C3182" w:rsidRPr="00EA6A1F" w:rsidRDefault="005C3182" w:rsidP="002C11A4">
            <w:pPr>
              <w:tabs>
                <w:tab w:val="left" w:pos="496"/>
              </w:tabs>
              <w:spacing w:before="120" w:after="0"/>
              <w:rPr>
                <w:sz w:val="18"/>
                <w:szCs w:val="18"/>
              </w:rPr>
            </w:pP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Employee + One</w:t>
            </w:r>
          </w:p>
        </w:tc>
        <w:tc>
          <w:tcPr>
            <w:tcW w:w="3040" w:type="dxa"/>
            <w:tcBorders>
              <w:top w:val="nil"/>
              <w:left w:val="single" w:sz="4" w:space="0" w:color="auto"/>
              <w:bottom w:val="nil"/>
              <w:right w:val="single" w:sz="12" w:space="0" w:color="auto"/>
            </w:tcBorders>
            <w:vAlign w:val="bottom"/>
          </w:tcPr>
          <w:p w:rsidR="005C3182" w:rsidRPr="00EA6A1F" w:rsidRDefault="005C3182" w:rsidP="00BB43ED">
            <w:pPr>
              <w:tabs>
                <w:tab w:val="left" w:pos="-60"/>
              </w:tabs>
              <w:spacing w:after="0"/>
              <w:ind w:left="-60"/>
              <w:jc w:val="center"/>
              <w:rPr>
                <w:sz w:val="18"/>
                <w:szCs w:val="18"/>
              </w:rPr>
            </w:pPr>
            <w:r w:rsidRPr="00EA6A1F">
              <w:rPr>
                <w:sz w:val="18"/>
                <w:szCs w:val="18"/>
              </w:rPr>
              <w:t>$</w:t>
            </w:r>
            <w:r w:rsidR="00BB43ED" w:rsidRPr="00EA6A1F">
              <w:rPr>
                <w:sz w:val="18"/>
                <w:szCs w:val="18"/>
              </w:rPr>
              <w:t>10,476</w:t>
            </w:r>
          </w:p>
        </w:tc>
      </w:tr>
      <w:tr w:rsidR="005C3182" w:rsidRPr="00EA6A1F" w:rsidTr="002C11A4">
        <w:trPr>
          <w:trHeight w:val="255"/>
          <w:jc w:val="center"/>
        </w:trPr>
        <w:tc>
          <w:tcPr>
            <w:tcW w:w="112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18"/>
                <w:szCs w:val="18"/>
              </w:rPr>
            </w:pPr>
          </w:p>
        </w:tc>
        <w:tc>
          <w:tcPr>
            <w:tcW w:w="2674" w:type="dxa"/>
            <w:gridSpan w:val="2"/>
            <w:vMerge/>
            <w:tcBorders>
              <w:left w:val="single" w:sz="4" w:space="0" w:color="auto"/>
              <w:bottom w:val="nil"/>
            </w:tcBorders>
            <w:noWrap/>
            <w:tcMar>
              <w:top w:w="13" w:type="dxa"/>
              <w:left w:w="72" w:type="dxa"/>
              <w:bottom w:w="0" w:type="dxa"/>
              <w:right w:w="13" w:type="dxa"/>
            </w:tcMar>
          </w:tcPr>
          <w:p w:rsidR="005C3182" w:rsidRPr="00EA6A1F" w:rsidRDefault="005C3182" w:rsidP="002C11A4">
            <w:pPr>
              <w:tabs>
                <w:tab w:val="left" w:pos="496"/>
              </w:tabs>
              <w:spacing w:after="0"/>
              <w:rPr>
                <w:sz w:val="18"/>
                <w:szCs w:val="18"/>
              </w:rPr>
            </w:pPr>
          </w:p>
        </w:tc>
        <w:tc>
          <w:tcPr>
            <w:tcW w:w="1530" w:type="dxa"/>
            <w:tcBorders>
              <w:top w:val="nil"/>
              <w:bottom w:val="nil"/>
              <w:right w:val="single" w:sz="4" w:space="0" w:color="auto"/>
            </w:tcBorders>
          </w:tcPr>
          <w:p w:rsidR="005C3182" w:rsidRPr="00EA6A1F" w:rsidRDefault="005C3182" w:rsidP="002C11A4">
            <w:pPr>
              <w:tabs>
                <w:tab w:val="left" w:pos="496"/>
              </w:tabs>
              <w:spacing w:after="0"/>
              <w:rPr>
                <w:sz w:val="18"/>
                <w:szCs w:val="18"/>
              </w:rPr>
            </w:pPr>
            <w:r w:rsidRPr="00EA6A1F">
              <w:rPr>
                <w:sz w:val="18"/>
                <w:szCs w:val="18"/>
              </w:rPr>
              <w:t>Family</w:t>
            </w:r>
          </w:p>
        </w:tc>
        <w:tc>
          <w:tcPr>
            <w:tcW w:w="3040" w:type="dxa"/>
            <w:tcBorders>
              <w:top w:val="nil"/>
              <w:left w:val="single" w:sz="4" w:space="0" w:color="auto"/>
              <w:bottom w:val="nil"/>
              <w:right w:val="single" w:sz="12" w:space="0" w:color="auto"/>
            </w:tcBorders>
            <w:vAlign w:val="bottom"/>
          </w:tcPr>
          <w:p w:rsidR="005C3182" w:rsidRPr="00EA6A1F" w:rsidRDefault="005C3182" w:rsidP="00BB43ED">
            <w:pPr>
              <w:tabs>
                <w:tab w:val="left" w:pos="-60"/>
              </w:tabs>
              <w:spacing w:after="0"/>
              <w:ind w:left="-60"/>
              <w:jc w:val="center"/>
              <w:rPr>
                <w:sz w:val="18"/>
                <w:szCs w:val="18"/>
              </w:rPr>
            </w:pPr>
            <w:r w:rsidRPr="00EA6A1F">
              <w:rPr>
                <w:sz w:val="18"/>
                <w:szCs w:val="18"/>
              </w:rPr>
              <w:t>$</w:t>
            </w:r>
            <w:r w:rsidR="00BB43ED" w:rsidRPr="00EA6A1F">
              <w:rPr>
                <w:sz w:val="18"/>
                <w:szCs w:val="18"/>
              </w:rPr>
              <w:t>15,312</w:t>
            </w:r>
          </w:p>
        </w:tc>
      </w:tr>
      <w:tr w:rsidR="005C3182" w:rsidRPr="00EA6A1F" w:rsidTr="002C11A4">
        <w:trPr>
          <w:gridBefore w:val="1"/>
          <w:wBefore w:w="20" w:type="dxa"/>
          <w:trHeight w:val="67"/>
          <w:jc w:val="center"/>
        </w:trPr>
        <w:tc>
          <w:tcPr>
            <w:tcW w:w="1114" w:type="dxa"/>
            <w:gridSpan w:val="2"/>
            <w:tcBorders>
              <w:top w:val="nil"/>
              <w:left w:val="single" w:sz="12" w:space="0" w:color="auto"/>
              <w:bottom w:val="nil"/>
              <w:right w:val="single" w:sz="4" w:space="0" w:color="auto"/>
            </w:tcBorders>
            <w:noWrap/>
            <w:tcMar>
              <w:top w:w="13" w:type="dxa"/>
              <w:left w:w="13" w:type="dxa"/>
              <w:bottom w:w="0" w:type="dxa"/>
              <w:right w:w="13" w:type="dxa"/>
            </w:tcMar>
          </w:tcPr>
          <w:p w:rsidR="005C3182" w:rsidRPr="00EA6A1F" w:rsidRDefault="005C3182" w:rsidP="002C11A4">
            <w:pPr>
              <w:tabs>
                <w:tab w:val="left" w:pos="70"/>
              </w:tabs>
              <w:spacing w:after="0"/>
              <w:ind w:hanging="75"/>
              <w:jc w:val="center"/>
              <w:rPr>
                <w:rFonts w:cs="Arial"/>
                <w:sz w:val="4"/>
                <w:szCs w:val="4"/>
              </w:rPr>
            </w:pPr>
          </w:p>
        </w:tc>
        <w:tc>
          <w:tcPr>
            <w:tcW w:w="2664" w:type="dxa"/>
            <w:tcBorders>
              <w:top w:val="nil"/>
              <w:left w:val="single" w:sz="4" w:space="0" w:color="auto"/>
              <w:bottom w:val="single" w:sz="4" w:space="0" w:color="auto"/>
            </w:tcBorders>
            <w:noWrap/>
            <w:tcMar>
              <w:top w:w="13" w:type="dxa"/>
              <w:left w:w="72" w:type="dxa"/>
              <w:bottom w:w="0" w:type="dxa"/>
              <w:right w:w="13" w:type="dxa"/>
            </w:tcMar>
          </w:tcPr>
          <w:p w:rsidR="005C3182" w:rsidRPr="00EA6A1F" w:rsidRDefault="005C3182" w:rsidP="002C11A4">
            <w:pPr>
              <w:tabs>
                <w:tab w:val="left" w:pos="496"/>
              </w:tabs>
              <w:spacing w:after="0"/>
              <w:rPr>
                <w:rFonts w:cs="Arial"/>
                <w:sz w:val="4"/>
                <w:szCs w:val="4"/>
              </w:rPr>
            </w:pPr>
          </w:p>
        </w:tc>
        <w:tc>
          <w:tcPr>
            <w:tcW w:w="1530" w:type="dxa"/>
            <w:tcBorders>
              <w:top w:val="nil"/>
              <w:bottom w:val="single" w:sz="4" w:space="0" w:color="auto"/>
              <w:right w:val="single" w:sz="4" w:space="0" w:color="auto"/>
            </w:tcBorders>
          </w:tcPr>
          <w:p w:rsidR="005C3182" w:rsidRPr="00EA6A1F" w:rsidRDefault="005C3182" w:rsidP="002C11A4">
            <w:pPr>
              <w:tabs>
                <w:tab w:val="left" w:pos="496"/>
              </w:tabs>
              <w:spacing w:after="0"/>
              <w:rPr>
                <w:rFonts w:cs="Arial"/>
                <w:sz w:val="4"/>
                <w:szCs w:val="4"/>
              </w:rPr>
            </w:pPr>
          </w:p>
        </w:tc>
        <w:tc>
          <w:tcPr>
            <w:tcW w:w="3040" w:type="dxa"/>
            <w:tcBorders>
              <w:top w:val="nil"/>
              <w:left w:val="single" w:sz="4" w:space="0" w:color="auto"/>
              <w:bottom w:val="nil"/>
              <w:right w:val="single" w:sz="12" w:space="0" w:color="auto"/>
            </w:tcBorders>
          </w:tcPr>
          <w:p w:rsidR="005C3182" w:rsidRPr="00EA6A1F" w:rsidRDefault="005C3182" w:rsidP="002C11A4">
            <w:pPr>
              <w:tabs>
                <w:tab w:val="left" w:pos="-60"/>
              </w:tabs>
              <w:spacing w:after="0"/>
              <w:ind w:left="-60"/>
              <w:jc w:val="center"/>
              <w:rPr>
                <w:rFonts w:cs="Arial"/>
                <w:sz w:val="4"/>
                <w:szCs w:val="4"/>
              </w:rPr>
            </w:pPr>
          </w:p>
        </w:tc>
      </w:tr>
      <w:tr w:rsidR="005C3182" w:rsidRPr="00EA6A1F" w:rsidTr="002C11A4">
        <w:trPr>
          <w:gridBefore w:val="1"/>
          <w:wBefore w:w="20" w:type="dxa"/>
          <w:trHeight w:val="108"/>
          <w:jc w:val="center"/>
        </w:trPr>
        <w:tc>
          <w:tcPr>
            <w:tcW w:w="1114" w:type="dxa"/>
            <w:gridSpan w:val="2"/>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1116</w:t>
            </w:r>
          </w:p>
        </w:tc>
        <w:tc>
          <w:tcPr>
            <w:tcW w:w="4194" w:type="dxa"/>
            <w:gridSpan w:val="2"/>
            <w:tcBorders>
              <w:top w:val="single" w:sz="4" w:space="0" w:color="auto"/>
              <w:left w:val="single" w:sz="8" w:space="0" w:color="auto"/>
              <w:bottom w:val="single" w:sz="8" w:space="0" w:color="auto"/>
              <w:right w:val="single" w:sz="8"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Retiree Health Insurance Credit Premium</w:t>
            </w:r>
          </w:p>
        </w:tc>
        <w:tc>
          <w:tcPr>
            <w:tcW w:w="3040" w:type="dxa"/>
            <w:tcBorders>
              <w:top w:val="single" w:sz="8" w:space="0" w:color="auto"/>
              <w:left w:val="single" w:sz="4" w:space="0" w:color="auto"/>
              <w:bottom w:val="single" w:sz="8" w:space="0" w:color="auto"/>
              <w:right w:val="single" w:sz="12" w:space="0" w:color="auto"/>
            </w:tcBorders>
          </w:tcPr>
          <w:p w:rsidR="005C3182" w:rsidRPr="00EA6A1F" w:rsidRDefault="005C3182" w:rsidP="00723C69">
            <w:pPr>
              <w:tabs>
                <w:tab w:val="left" w:pos="-60"/>
              </w:tabs>
              <w:spacing w:after="0"/>
              <w:ind w:left="-60"/>
              <w:jc w:val="center"/>
              <w:rPr>
                <w:sz w:val="18"/>
                <w:szCs w:val="18"/>
              </w:rPr>
            </w:pPr>
            <w:r w:rsidRPr="00EA6A1F">
              <w:rPr>
                <w:sz w:val="18"/>
                <w:szCs w:val="18"/>
              </w:rPr>
              <w:t>1.</w:t>
            </w:r>
            <w:r w:rsidR="00723C69">
              <w:rPr>
                <w:sz w:val="18"/>
                <w:szCs w:val="18"/>
              </w:rPr>
              <w:t>05</w:t>
            </w:r>
            <w:r w:rsidRPr="00EA6A1F">
              <w:rPr>
                <w:sz w:val="18"/>
                <w:szCs w:val="18"/>
              </w:rPr>
              <w:t>%</w:t>
            </w:r>
          </w:p>
        </w:tc>
      </w:tr>
      <w:tr w:rsidR="005C3182" w:rsidRPr="00EA6A1F" w:rsidTr="002C11A4">
        <w:trPr>
          <w:gridBefore w:val="1"/>
          <w:wBefore w:w="20" w:type="dxa"/>
          <w:trHeight w:val="108"/>
          <w:jc w:val="center"/>
        </w:trPr>
        <w:tc>
          <w:tcPr>
            <w:tcW w:w="1114" w:type="dxa"/>
            <w:gridSpan w:val="2"/>
            <w:tcBorders>
              <w:top w:val="single" w:sz="8" w:space="0" w:color="auto"/>
              <w:left w:val="single" w:sz="12" w:space="0" w:color="auto"/>
              <w:bottom w:val="nil"/>
              <w:right w:val="single" w:sz="8"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1117</w:t>
            </w:r>
          </w:p>
        </w:tc>
        <w:tc>
          <w:tcPr>
            <w:tcW w:w="4194" w:type="dxa"/>
            <w:gridSpan w:val="2"/>
            <w:tcBorders>
              <w:top w:val="single" w:sz="8" w:space="0" w:color="auto"/>
              <w:left w:val="single" w:sz="8" w:space="0" w:color="auto"/>
              <w:bottom w:val="nil"/>
              <w:right w:val="single" w:sz="8"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VSDP &amp; Long-Term Disability Insurance</w:t>
            </w:r>
          </w:p>
        </w:tc>
        <w:tc>
          <w:tcPr>
            <w:tcW w:w="3040" w:type="dxa"/>
            <w:tcBorders>
              <w:top w:val="single" w:sz="8" w:space="0" w:color="auto"/>
              <w:left w:val="single" w:sz="4" w:space="0" w:color="auto"/>
              <w:bottom w:val="nil"/>
              <w:right w:val="single" w:sz="12" w:space="0" w:color="auto"/>
            </w:tcBorders>
          </w:tcPr>
          <w:p w:rsidR="005C3182" w:rsidRPr="00EA6A1F" w:rsidRDefault="005C3182" w:rsidP="00BB43ED">
            <w:pPr>
              <w:tabs>
                <w:tab w:val="left" w:pos="-60"/>
              </w:tabs>
              <w:spacing w:after="0"/>
              <w:ind w:left="-60"/>
              <w:jc w:val="center"/>
              <w:rPr>
                <w:sz w:val="18"/>
                <w:szCs w:val="18"/>
              </w:rPr>
            </w:pPr>
            <w:r w:rsidRPr="00EA6A1F">
              <w:rPr>
                <w:sz w:val="18"/>
                <w:szCs w:val="18"/>
              </w:rPr>
              <w:t>0.</w:t>
            </w:r>
            <w:r w:rsidR="00723C69">
              <w:rPr>
                <w:sz w:val="18"/>
                <w:szCs w:val="18"/>
              </w:rPr>
              <w:t>66</w:t>
            </w:r>
            <w:r w:rsidRPr="00EA6A1F">
              <w:rPr>
                <w:sz w:val="18"/>
                <w:szCs w:val="18"/>
              </w:rPr>
              <w:t>%</w:t>
            </w:r>
          </w:p>
        </w:tc>
      </w:tr>
      <w:tr w:rsidR="005C3182" w:rsidRPr="00EA6A1F" w:rsidTr="002C11A4">
        <w:trPr>
          <w:gridBefore w:val="1"/>
          <w:wBefore w:w="20" w:type="dxa"/>
          <w:trHeight w:val="108"/>
          <w:jc w:val="center"/>
        </w:trPr>
        <w:tc>
          <w:tcPr>
            <w:tcW w:w="1114" w:type="dxa"/>
            <w:gridSpan w:val="2"/>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1118</w:t>
            </w:r>
          </w:p>
        </w:tc>
        <w:tc>
          <w:tcPr>
            <w:tcW w:w="4194"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Teachers Insurance and Annuity</w:t>
            </w:r>
            <w:r w:rsidRPr="00EA6A1F">
              <w:rPr>
                <w:rFonts w:cs="Arial"/>
                <w:b/>
                <w:bCs/>
                <w:sz w:val="18"/>
                <w:szCs w:val="18"/>
                <w:vertAlign w:val="superscript"/>
              </w:rPr>
              <w:t>3</w:t>
            </w:r>
            <w:r w:rsidRPr="00EA6A1F">
              <w:rPr>
                <w:rFonts w:cs="Arial"/>
                <w:b/>
                <w:bCs/>
                <w:sz w:val="18"/>
                <w:szCs w:val="18"/>
              </w:rPr>
              <w:t xml:space="preserve"> Plan 1</w:t>
            </w:r>
          </w:p>
        </w:tc>
        <w:tc>
          <w:tcPr>
            <w:tcW w:w="3040" w:type="dxa"/>
            <w:tcBorders>
              <w:top w:val="single" w:sz="8" w:space="0" w:color="auto"/>
              <w:left w:val="single" w:sz="4" w:space="0" w:color="auto"/>
              <w:bottom w:val="single" w:sz="8" w:space="0" w:color="auto"/>
              <w:right w:val="single" w:sz="12" w:space="0" w:color="auto"/>
            </w:tcBorders>
          </w:tcPr>
          <w:p w:rsidR="005C3182" w:rsidRPr="00EA6A1F" w:rsidRDefault="005C3182" w:rsidP="002C11A4">
            <w:pPr>
              <w:tabs>
                <w:tab w:val="left" w:pos="-60"/>
              </w:tabs>
              <w:spacing w:after="0"/>
              <w:ind w:left="-60"/>
              <w:jc w:val="center"/>
              <w:rPr>
                <w:sz w:val="18"/>
                <w:szCs w:val="18"/>
              </w:rPr>
            </w:pPr>
            <w:r w:rsidRPr="00EA6A1F">
              <w:rPr>
                <w:sz w:val="18"/>
                <w:szCs w:val="18"/>
              </w:rPr>
              <w:t>10.40%</w:t>
            </w:r>
          </w:p>
        </w:tc>
      </w:tr>
      <w:tr w:rsidR="005C3182" w:rsidRPr="00EA6A1F" w:rsidTr="002C11A4">
        <w:trPr>
          <w:gridBefore w:val="1"/>
          <w:wBefore w:w="20" w:type="dxa"/>
          <w:trHeight w:val="198"/>
          <w:jc w:val="center"/>
        </w:trPr>
        <w:tc>
          <w:tcPr>
            <w:tcW w:w="1114" w:type="dxa"/>
            <w:gridSpan w:val="2"/>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1118</w:t>
            </w:r>
          </w:p>
        </w:tc>
        <w:tc>
          <w:tcPr>
            <w:tcW w:w="4194"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Teachers Insurance and Annuity</w:t>
            </w:r>
            <w:r w:rsidRPr="00EA6A1F">
              <w:rPr>
                <w:rFonts w:cs="Arial"/>
                <w:b/>
                <w:bCs/>
                <w:sz w:val="18"/>
                <w:szCs w:val="18"/>
                <w:vertAlign w:val="superscript"/>
              </w:rPr>
              <w:t>3</w:t>
            </w:r>
            <w:r w:rsidRPr="00EA6A1F">
              <w:rPr>
                <w:rFonts w:cs="Arial"/>
                <w:b/>
                <w:bCs/>
                <w:sz w:val="18"/>
                <w:szCs w:val="18"/>
              </w:rPr>
              <w:t xml:space="preserve"> Plan 2</w:t>
            </w:r>
          </w:p>
        </w:tc>
        <w:tc>
          <w:tcPr>
            <w:tcW w:w="3040" w:type="dxa"/>
            <w:tcBorders>
              <w:top w:val="single" w:sz="8" w:space="0" w:color="auto"/>
              <w:left w:val="single" w:sz="4" w:space="0" w:color="auto"/>
              <w:bottom w:val="single" w:sz="8" w:space="0" w:color="auto"/>
              <w:right w:val="single" w:sz="12" w:space="0" w:color="auto"/>
            </w:tcBorders>
          </w:tcPr>
          <w:p w:rsidR="005C3182" w:rsidRPr="00EA6A1F" w:rsidRDefault="005C3182" w:rsidP="002C11A4">
            <w:pPr>
              <w:tabs>
                <w:tab w:val="left" w:pos="-60"/>
              </w:tabs>
              <w:spacing w:after="0"/>
              <w:ind w:left="-60"/>
              <w:jc w:val="center"/>
              <w:rPr>
                <w:sz w:val="18"/>
                <w:szCs w:val="18"/>
              </w:rPr>
            </w:pPr>
            <w:r w:rsidRPr="00EA6A1F">
              <w:rPr>
                <w:sz w:val="18"/>
                <w:szCs w:val="18"/>
              </w:rPr>
              <w:t>8.50%</w:t>
            </w:r>
          </w:p>
        </w:tc>
      </w:tr>
      <w:tr w:rsidR="005C3182" w:rsidRPr="00EA6A1F" w:rsidTr="002C11A4">
        <w:trPr>
          <w:gridBefore w:val="1"/>
          <w:wBefore w:w="20" w:type="dxa"/>
          <w:trHeight w:val="108"/>
          <w:jc w:val="center"/>
        </w:trPr>
        <w:tc>
          <w:tcPr>
            <w:tcW w:w="1114" w:type="dxa"/>
            <w:gridSpan w:val="2"/>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1119</w:t>
            </w:r>
          </w:p>
        </w:tc>
        <w:tc>
          <w:tcPr>
            <w:tcW w:w="4194"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Defined Contribution Plan</w:t>
            </w:r>
            <w:r w:rsidRPr="00EA6A1F">
              <w:rPr>
                <w:rFonts w:cs="Arial"/>
                <w:b/>
                <w:bCs/>
                <w:sz w:val="18"/>
                <w:szCs w:val="18"/>
                <w:vertAlign w:val="superscript"/>
              </w:rPr>
              <w:t>4</w:t>
            </w:r>
          </w:p>
        </w:tc>
        <w:tc>
          <w:tcPr>
            <w:tcW w:w="3040" w:type="dxa"/>
            <w:tcBorders>
              <w:top w:val="single" w:sz="8" w:space="0" w:color="auto"/>
              <w:left w:val="single" w:sz="4" w:space="0" w:color="auto"/>
              <w:bottom w:val="single" w:sz="8" w:space="0" w:color="auto"/>
              <w:right w:val="single" w:sz="12" w:space="0" w:color="auto"/>
            </w:tcBorders>
          </w:tcPr>
          <w:p w:rsidR="005C3182" w:rsidRPr="00EA6A1F" w:rsidRDefault="005C3182" w:rsidP="002C11A4">
            <w:pPr>
              <w:tabs>
                <w:tab w:val="left" w:pos="-60"/>
              </w:tabs>
              <w:spacing w:after="0"/>
              <w:ind w:left="-60"/>
              <w:jc w:val="center"/>
              <w:rPr>
                <w:sz w:val="18"/>
                <w:szCs w:val="18"/>
              </w:rPr>
            </w:pPr>
            <w:r w:rsidRPr="00EA6A1F">
              <w:rPr>
                <w:sz w:val="18"/>
                <w:szCs w:val="18"/>
              </w:rPr>
              <w:t>10.40%</w:t>
            </w:r>
          </w:p>
        </w:tc>
      </w:tr>
      <w:tr w:rsidR="005C3182" w:rsidRPr="00EA6A1F" w:rsidTr="002C11A4">
        <w:trPr>
          <w:gridBefore w:val="1"/>
          <w:wBefore w:w="20" w:type="dxa"/>
          <w:trHeight w:val="225"/>
          <w:jc w:val="center"/>
        </w:trPr>
        <w:tc>
          <w:tcPr>
            <w:tcW w:w="1114" w:type="dxa"/>
            <w:gridSpan w:val="2"/>
            <w:tcBorders>
              <w:top w:val="single" w:sz="8" w:space="0" w:color="auto"/>
              <w:left w:val="single" w:sz="12" w:space="0" w:color="auto"/>
              <w:bottom w:val="single" w:sz="12" w:space="0" w:color="auto"/>
              <w:right w:val="single" w:sz="8" w:space="0" w:color="auto"/>
            </w:tcBorders>
            <w:noWrap/>
            <w:tcMar>
              <w:top w:w="43" w:type="dxa"/>
              <w:left w:w="13" w:type="dxa"/>
              <w:bottom w:w="43" w:type="dxa"/>
              <w:right w:w="13" w:type="dxa"/>
            </w:tcMar>
          </w:tcPr>
          <w:p w:rsidR="005C3182" w:rsidRPr="00EA6A1F" w:rsidRDefault="005C3182" w:rsidP="002C11A4">
            <w:pPr>
              <w:tabs>
                <w:tab w:val="left" w:pos="70"/>
              </w:tabs>
              <w:spacing w:after="0"/>
              <w:ind w:hanging="75"/>
              <w:jc w:val="center"/>
              <w:rPr>
                <w:rFonts w:cs="Arial"/>
                <w:b/>
                <w:bCs/>
                <w:sz w:val="18"/>
                <w:szCs w:val="18"/>
              </w:rPr>
            </w:pPr>
            <w:r w:rsidRPr="00EA6A1F">
              <w:rPr>
                <w:rFonts w:cs="Arial"/>
                <w:b/>
                <w:bCs/>
                <w:sz w:val="18"/>
                <w:szCs w:val="18"/>
              </w:rPr>
              <w:t>1138</w:t>
            </w:r>
          </w:p>
        </w:tc>
        <w:tc>
          <w:tcPr>
            <w:tcW w:w="4194" w:type="dxa"/>
            <w:gridSpan w:val="2"/>
            <w:tcBorders>
              <w:top w:val="single" w:sz="8" w:space="0" w:color="auto"/>
              <w:left w:val="single" w:sz="8" w:space="0" w:color="auto"/>
              <w:bottom w:val="single" w:sz="12" w:space="0" w:color="auto"/>
              <w:right w:val="single" w:sz="8" w:space="0" w:color="auto"/>
            </w:tcBorders>
            <w:noWrap/>
            <w:tcMar>
              <w:top w:w="43" w:type="dxa"/>
              <w:left w:w="72" w:type="dxa"/>
              <w:bottom w:w="43" w:type="dxa"/>
              <w:right w:w="13" w:type="dxa"/>
            </w:tcMar>
          </w:tcPr>
          <w:p w:rsidR="005C3182" w:rsidRPr="00EA6A1F" w:rsidRDefault="005C3182" w:rsidP="002C11A4">
            <w:pPr>
              <w:spacing w:after="0"/>
              <w:ind w:left="108"/>
              <w:rPr>
                <w:rFonts w:cs="Arial"/>
                <w:b/>
                <w:bCs/>
                <w:sz w:val="18"/>
                <w:szCs w:val="18"/>
              </w:rPr>
            </w:pPr>
            <w:r w:rsidRPr="00EA6A1F">
              <w:rPr>
                <w:rFonts w:cs="Arial"/>
                <w:b/>
                <w:bCs/>
                <w:sz w:val="18"/>
                <w:szCs w:val="18"/>
              </w:rPr>
              <w:t>Deferred Compensation Match Payments</w:t>
            </w:r>
          </w:p>
        </w:tc>
        <w:tc>
          <w:tcPr>
            <w:tcW w:w="3040" w:type="dxa"/>
            <w:tcBorders>
              <w:top w:val="single" w:sz="8" w:space="0" w:color="auto"/>
              <w:left w:val="single" w:sz="4" w:space="0" w:color="auto"/>
              <w:bottom w:val="single" w:sz="12" w:space="0" w:color="auto"/>
              <w:right w:val="single" w:sz="12" w:space="0" w:color="auto"/>
            </w:tcBorders>
          </w:tcPr>
          <w:p w:rsidR="005C3182" w:rsidRPr="00EA6A1F" w:rsidRDefault="005C3182" w:rsidP="002C11A4">
            <w:pPr>
              <w:tabs>
                <w:tab w:val="left" w:pos="89"/>
              </w:tabs>
              <w:spacing w:after="0"/>
              <w:ind w:left="89"/>
              <w:rPr>
                <w:sz w:val="18"/>
                <w:szCs w:val="18"/>
              </w:rPr>
            </w:pPr>
            <w:r w:rsidRPr="00EA6A1F">
              <w:rPr>
                <w:sz w:val="18"/>
                <w:szCs w:val="18"/>
              </w:rPr>
              <w:t>One-half of employee’s contribution per pay period, up to a max of $20 per pay period or $480 annually</w:t>
            </w:r>
          </w:p>
        </w:tc>
      </w:tr>
    </w:tbl>
    <w:p w:rsidR="005C3182" w:rsidRPr="00EA6A1F" w:rsidRDefault="005C3182" w:rsidP="005C3182">
      <w:pPr>
        <w:tabs>
          <w:tab w:val="left" w:pos="-630"/>
        </w:tabs>
        <w:spacing w:before="120" w:after="0"/>
        <w:ind w:left="86" w:right="14" w:hanging="86"/>
        <w:rPr>
          <w:rFonts w:ascii="Bookman Old Style" w:hAnsi="Bookman Old Style"/>
          <w:sz w:val="14"/>
          <w:szCs w:val="14"/>
        </w:rPr>
      </w:pPr>
      <w:r w:rsidRPr="00EA6A1F">
        <w:rPr>
          <w:rFonts w:ascii="Bookman Old Style" w:hAnsi="Bookman Old Style"/>
          <w:sz w:val="14"/>
          <w:szCs w:val="14"/>
          <w:vertAlign w:val="superscript"/>
        </w:rPr>
        <w:t xml:space="preserve">1 </w:t>
      </w:r>
      <w:r w:rsidRPr="00EA6A1F">
        <w:rPr>
          <w:rFonts w:ascii="Bookman Old Style" w:hAnsi="Bookman Old Style"/>
          <w:sz w:val="14"/>
          <w:szCs w:val="14"/>
        </w:rPr>
        <w:t>Percentages refer to percent of salaries.  Health insurance premiums are the annual employer dollar cost for an individual.</w:t>
      </w:r>
    </w:p>
    <w:p w:rsidR="005C3182" w:rsidRPr="00EA6A1F" w:rsidRDefault="005C3182" w:rsidP="005C3182">
      <w:pPr>
        <w:tabs>
          <w:tab w:val="left" w:pos="-630"/>
        </w:tabs>
        <w:spacing w:before="40" w:after="0"/>
        <w:ind w:left="86" w:right="14" w:hanging="86"/>
        <w:rPr>
          <w:rFonts w:ascii="Bookman Old Style" w:hAnsi="Bookman Old Style"/>
          <w:sz w:val="14"/>
          <w:szCs w:val="14"/>
        </w:rPr>
      </w:pPr>
      <w:r w:rsidRPr="00EA6A1F">
        <w:rPr>
          <w:rFonts w:ascii="Bookman Old Style" w:hAnsi="Bookman Old Style"/>
          <w:sz w:val="14"/>
          <w:szCs w:val="14"/>
          <w:vertAlign w:val="superscript"/>
        </w:rPr>
        <w:t xml:space="preserve">2 </w:t>
      </w:r>
      <w:r w:rsidRPr="00EA6A1F">
        <w:rPr>
          <w:rFonts w:ascii="Bookman Old Style" w:hAnsi="Bookman Old Style"/>
          <w:sz w:val="14"/>
          <w:szCs w:val="14"/>
        </w:rPr>
        <w:t>The $113,700 Social Security cap applies to calendar year 201</w:t>
      </w:r>
      <w:r w:rsidR="00BB43ED" w:rsidRPr="00EA6A1F">
        <w:rPr>
          <w:rFonts w:ascii="Bookman Old Style" w:hAnsi="Bookman Old Style"/>
          <w:sz w:val="14"/>
          <w:szCs w:val="14"/>
        </w:rPr>
        <w:t>4</w:t>
      </w:r>
      <w:r w:rsidRPr="00EA6A1F">
        <w:rPr>
          <w:rFonts w:ascii="Bookman Old Style" w:hAnsi="Bookman Old Style"/>
          <w:sz w:val="14"/>
          <w:szCs w:val="14"/>
        </w:rPr>
        <w:t xml:space="preserve">.  Future year caps are unknown at this time.  </w:t>
      </w:r>
    </w:p>
    <w:p w:rsidR="005C3182" w:rsidRPr="00EA6A1F" w:rsidRDefault="005C3182" w:rsidP="005C3182">
      <w:pPr>
        <w:pStyle w:val="littlebullets"/>
        <w:tabs>
          <w:tab w:val="clear" w:pos="540"/>
          <w:tab w:val="clear" w:pos="900"/>
          <w:tab w:val="clear" w:pos="1260"/>
          <w:tab w:val="clear" w:pos="1620"/>
          <w:tab w:val="clear" w:pos="3240"/>
          <w:tab w:val="clear" w:pos="5040"/>
          <w:tab w:val="left" w:pos="-630"/>
        </w:tabs>
        <w:spacing w:before="40" w:after="0" w:line="240" w:lineRule="auto"/>
        <w:ind w:left="86" w:right="14" w:hanging="86"/>
        <w:rPr>
          <w:rFonts w:ascii="Bookman Old Style" w:hAnsi="Bookman Old Style"/>
          <w:sz w:val="14"/>
          <w:szCs w:val="14"/>
        </w:rPr>
      </w:pPr>
      <w:r w:rsidRPr="00EA6A1F">
        <w:rPr>
          <w:rFonts w:ascii="Bookman Old Style" w:hAnsi="Bookman Old Style"/>
          <w:sz w:val="14"/>
          <w:szCs w:val="14"/>
          <w:vertAlign w:val="superscript"/>
        </w:rPr>
        <w:t xml:space="preserve">3 </w:t>
      </w:r>
      <w:r w:rsidRPr="00EA6A1F">
        <w:rPr>
          <w:rFonts w:ascii="Bookman Old Style" w:hAnsi="Bookman Old Style"/>
          <w:sz w:val="14"/>
          <w:szCs w:val="14"/>
        </w:rPr>
        <w:t>For institutions of higher education: This includes alternative retirement options, such as TIAA-CREF, for those employees as defined in § 51.1-126 of the Code of Virginia. Plan 1 employees are those employees hired before July 1, 2010.  Plan 2 employees were hired after June 30, 2010.</w:t>
      </w:r>
    </w:p>
    <w:p w:rsidR="005C3182" w:rsidRPr="002269A5" w:rsidRDefault="005C3182" w:rsidP="005C3182">
      <w:pPr>
        <w:pStyle w:val="littlebullets"/>
        <w:tabs>
          <w:tab w:val="clear" w:pos="540"/>
          <w:tab w:val="clear" w:pos="900"/>
          <w:tab w:val="clear" w:pos="1260"/>
          <w:tab w:val="clear" w:pos="1620"/>
          <w:tab w:val="clear" w:pos="3240"/>
          <w:tab w:val="clear" w:pos="5040"/>
          <w:tab w:val="left" w:pos="-720"/>
        </w:tabs>
        <w:spacing w:before="40" w:after="0" w:line="240" w:lineRule="auto"/>
        <w:ind w:left="86" w:right="14" w:hanging="86"/>
        <w:rPr>
          <w:rFonts w:ascii="Bookman Old Style" w:hAnsi="Bookman Old Style" w:cs="Arial"/>
          <w:b/>
          <w:bCs/>
          <w:color w:val="000000"/>
          <w:sz w:val="14"/>
          <w:szCs w:val="14"/>
        </w:rPr>
      </w:pPr>
      <w:r w:rsidRPr="00EA6A1F">
        <w:rPr>
          <w:rFonts w:ascii="Bookman Old Style" w:hAnsi="Bookman Old Style"/>
          <w:sz w:val="14"/>
          <w:szCs w:val="14"/>
          <w:vertAlign w:val="superscript"/>
        </w:rPr>
        <w:t xml:space="preserve">4 </w:t>
      </w:r>
      <w:r w:rsidRPr="00EA6A1F">
        <w:rPr>
          <w:rFonts w:ascii="Bookman Old Style" w:hAnsi="Bookman Old Style"/>
          <w:sz w:val="14"/>
          <w:szCs w:val="14"/>
        </w:rPr>
        <w:t>Used for employees eligible for a defined contribution plan established pursuant to § 51.1-126.5 of the Code of Virginia.</w:t>
      </w:r>
      <w:r w:rsidRPr="0038049A">
        <w:rPr>
          <w:rFonts w:ascii="Bookman Old Style" w:hAnsi="Bookman Old Style"/>
          <w:sz w:val="14"/>
          <w:szCs w:val="14"/>
        </w:rPr>
        <w:t xml:space="preserve"> </w:t>
      </w:r>
    </w:p>
    <w:p w:rsidR="003164EB" w:rsidRPr="00DA13A6" w:rsidRDefault="00EB48D3" w:rsidP="003164EB">
      <w:pPr>
        <w:spacing w:after="0"/>
        <w:jc w:val="center"/>
        <w:rPr>
          <w:rFonts w:ascii="Calibri" w:hAnsi="Calibri" w:cs="Arial"/>
          <w:b/>
          <w:i/>
          <w:sz w:val="36"/>
          <w:szCs w:val="36"/>
        </w:rPr>
      </w:pPr>
      <w:r>
        <w:rPr>
          <w:rFonts w:ascii="Calibri" w:hAnsi="Calibri" w:cs="Arial"/>
          <w:b/>
          <w:sz w:val="36"/>
          <w:szCs w:val="36"/>
        </w:rPr>
        <w:br w:type="page"/>
      </w:r>
      <w:bookmarkStart w:id="23" w:name="_Toc102895227"/>
      <w:bookmarkStart w:id="24" w:name="_Toc101848206"/>
      <w:bookmarkStart w:id="25" w:name="_Toc101848214"/>
      <w:bookmarkStart w:id="26" w:name="_Toc102895231"/>
      <w:bookmarkStart w:id="27" w:name="_Toc132700401"/>
      <w:r w:rsidR="003164EB" w:rsidRPr="00DA13A6">
        <w:rPr>
          <w:rFonts w:ascii="Calibri" w:hAnsi="Calibri" w:cs="Arial"/>
          <w:b/>
          <w:i/>
          <w:sz w:val="36"/>
          <w:szCs w:val="36"/>
        </w:rPr>
        <w:lastRenderedPageBreak/>
        <w:t xml:space="preserve"> </w:t>
      </w:r>
    </w:p>
    <w:p w:rsidR="0091001C" w:rsidRDefault="00EB48D3" w:rsidP="0081498D">
      <w:pPr>
        <w:spacing w:after="0"/>
        <w:ind w:right="720"/>
        <w:jc w:val="center"/>
        <w:rPr>
          <w:rFonts w:ascii="Calibri" w:hAnsi="Calibri" w:cs="Arial"/>
          <w:b/>
          <w:i/>
          <w:sz w:val="36"/>
          <w:szCs w:val="36"/>
        </w:rPr>
      </w:pPr>
      <w:r w:rsidRPr="00DA13A6">
        <w:rPr>
          <w:rFonts w:ascii="Calibri" w:hAnsi="Calibri" w:cs="Arial"/>
          <w:b/>
          <w:i/>
          <w:sz w:val="36"/>
          <w:szCs w:val="36"/>
        </w:rPr>
        <w:t xml:space="preserve">Appendix </w:t>
      </w:r>
      <w:r w:rsidR="003164EB">
        <w:rPr>
          <w:rFonts w:ascii="Calibri" w:hAnsi="Calibri" w:cs="Arial"/>
          <w:b/>
          <w:i/>
          <w:sz w:val="36"/>
          <w:szCs w:val="36"/>
        </w:rPr>
        <w:t>D</w:t>
      </w:r>
    </w:p>
    <w:p w:rsidR="00DA13A6" w:rsidRPr="00DA13A6" w:rsidRDefault="00DA13A6" w:rsidP="0081498D">
      <w:pPr>
        <w:spacing w:after="0"/>
        <w:ind w:right="720"/>
        <w:jc w:val="center"/>
        <w:rPr>
          <w:rFonts w:ascii="Calibri" w:hAnsi="Calibri" w:cs="Arial"/>
          <w:b/>
          <w:i/>
          <w:sz w:val="36"/>
          <w:szCs w:val="36"/>
        </w:rPr>
      </w:pPr>
    </w:p>
    <w:p w:rsidR="00CC50F4" w:rsidRPr="0093655C" w:rsidRDefault="00C03140" w:rsidP="00CC50F4">
      <w:pPr>
        <w:pStyle w:val="Heading1"/>
        <w:spacing w:before="0" w:after="0"/>
        <w:rPr>
          <w:rFonts w:ascii="Calibri" w:hAnsi="Calibri"/>
        </w:rPr>
      </w:pPr>
      <w:r w:rsidRPr="0093655C">
        <w:rPr>
          <w:rFonts w:ascii="Calibri" w:hAnsi="Calibri" w:cs="Arial"/>
        </w:rPr>
        <w:t xml:space="preserve">FY </w:t>
      </w:r>
      <w:r w:rsidR="00570627">
        <w:rPr>
          <w:rFonts w:ascii="Calibri" w:hAnsi="Calibri" w:cs="Arial"/>
        </w:rPr>
        <w:t>2015</w:t>
      </w:r>
      <w:r w:rsidR="00BD203B" w:rsidRPr="0093655C">
        <w:rPr>
          <w:rFonts w:ascii="Calibri" w:hAnsi="Calibri" w:cs="Arial"/>
        </w:rPr>
        <w:t xml:space="preserve"> </w:t>
      </w:r>
      <w:r w:rsidR="00CC50F4" w:rsidRPr="0093655C">
        <w:rPr>
          <w:rFonts w:ascii="Calibri" w:hAnsi="Calibri" w:cs="Arial"/>
        </w:rPr>
        <w:t>HEETF Lease Payments</w:t>
      </w:r>
      <w:bookmarkEnd w:id="23"/>
      <w:bookmarkEnd w:id="24"/>
      <w:r w:rsidR="00CC50F4" w:rsidRPr="0093655C">
        <w:rPr>
          <w:rFonts w:ascii="Calibri" w:hAnsi="Calibri" w:cs="Arial"/>
        </w:rPr>
        <w:t xml:space="preserve"> </w:t>
      </w:r>
      <w:r w:rsidR="00E67CE0" w:rsidRPr="0093655C">
        <w:rPr>
          <w:rFonts w:ascii="Calibri" w:hAnsi="Calibri" w:cs="Arial"/>
        </w:rPr>
        <w:t>*</w:t>
      </w:r>
    </w:p>
    <w:p w:rsidR="00CC50F4" w:rsidRPr="0093655C" w:rsidRDefault="00CC50F4" w:rsidP="00F165E0">
      <w:pPr>
        <w:tabs>
          <w:tab w:val="clear" w:pos="360"/>
          <w:tab w:val="left" w:pos="7070"/>
          <w:tab w:val="left" w:pos="9058"/>
        </w:tabs>
        <w:autoSpaceDE w:val="0"/>
        <w:autoSpaceDN w:val="0"/>
        <w:adjustRightInd w:val="0"/>
        <w:rPr>
          <w:rFonts w:ascii="Calibri" w:hAnsi="Calibri"/>
        </w:rPr>
      </w:pPr>
    </w:p>
    <w:tbl>
      <w:tblPr>
        <w:tblW w:w="8400" w:type="dxa"/>
        <w:jc w:val="center"/>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6270"/>
        <w:gridCol w:w="2130"/>
      </w:tblGrid>
      <w:tr w:rsidR="00B512C9" w:rsidRPr="0093655C" w:rsidTr="007637DA">
        <w:trPr>
          <w:trHeight w:val="301"/>
          <w:jc w:val="center"/>
        </w:trPr>
        <w:tc>
          <w:tcPr>
            <w:tcW w:w="6270" w:type="dxa"/>
            <w:shd w:val="clear" w:color="auto" w:fill="999999"/>
            <w:vAlign w:val="bottom"/>
          </w:tcPr>
          <w:p w:rsidR="00B512C9" w:rsidRPr="008B07F5" w:rsidRDefault="00B512C9" w:rsidP="00635D83">
            <w:pPr>
              <w:tabs>
                <w:tab w:val="clear" w:pos="360"/>
              </w:tabs>
              <w:autoSpaceDE w:val="0"/>
              <w:autoSpaceDN w:val="0"/>
              <w:adjustRightInd w:val="0"/>
              <w:spacing w:before="60" w:after="60"/>
              <w:ind w:left="0"/>
              <w:rPr>
                <w:rFonts w:ascii="Calibri" w:hAnsi="Calibri"/>
                <w:b/>
                <w:bCs/>
                <w:iCs/>
                <w:color w:val="000000"/>
                <w:szCs w:val="24"/>
              </w:rPr>
            </w:pPr>
            <w:r w:rsidRPr="008B07F5">
              <w:rPr>
                <w:rFonts w:ascii="Calibri" w:hAnsi="Calibri"/>
                <w:b/>
                <w:bCs/>
                <w:iCs/>
                <w:color w:val="000000"/>
                <w:szCs w:val="24"/>
              </w:rPr>
              <w:t>Institution</w:t>
            </w:r>
          </w:p>
        </w:tc>
        <w:tc>
          <w:tcPr>
            <w:tcW w:w="2130" w:type="dxa"/>
            <w:shd w:val="clear" w:color="auto" w:fill="999999"/>
            <w:vAlign w:val="bottom"/>
          </w:tcPr>
          <w:p w:rsidR="00B512C9" w:rsidRPr="008B07F5" w:rsidRDefault="00B512C9" w:rsidP="0061172E">
            <w:pPr>
              <w:tabs>
                <w:tab w:val="clear" w:pos="360"/>
              </w:tabs>
              <w:autoSpaceDE w:val="0"/>
              <w:autoSpaceDN w:val="0"/>
              <w:adjustRightInd w:val="0"/>
              <w:spacing w:before="60" w:after="60"/>
              <w:jc w:val="center"/>
              <w:rPr>
                <w:rFonts w:ascii="Calibri" w:hAnsi="Calibri"/>
                <w:b/>
                <w:bCs/>
                <w:iCs/>
                <w:color w:val="000000"/>
                <w:szCs w:val="24"/>
              </w:rPr>
            </w:pPr>
            <w:r w:rsidRPr="008B07F5">
              <w:rPr>
                <w:rFonts w:ascii="Calibri" w:hAnsi="Calibri"/>
                <w:b/>
                <w:bCs/>
                <w:iCs/>
                <w:color w:val="000000"/>
                <w:szCs w:val="24"/>
              </w:rPr>
              <w:t xml:space="preserve">FY </w:t>
            </w:r>
            <w:r w:rsidR="00570627" w:rsidRPr="008B07F5">
              <w:rPr>
                <w:rFonts w:ascii="Calibri" w:hAnsi="Calibri"/>
                <w:b/>
                <w:bCs/>
                <w:iCs/>
                <w:color w:val="000000"/>
                <w:szCs w:val="24"/>
              </w:rPr>
              <w:t>2015</w:t>
            </w:r>
            <w:r w:rsidR="00635D83" w:rsidRPr="008B07F5">
              <w:rPr>
                <w:rFonts w:ascii="Calibri" w:hAnsi="Calibri"/>
                <w:b/>
                <w:bCs/>
                <w:iCs/>
                <w:color w:val="000000"/>
                <w:szCs w:val="24"/>
              </w:rPr>
              <w:t xml:space="preserve"> </w:t>
            </w:r>
            <w:r w:rsidRPr="008B07F5">
              <w:rPr>
                <w:rFonts w:ascii="Calibri" w:hAnsi="Calibri"/>
                <w:b/>
                <w:bCs/>
                <w:iCs/>
                <w:color w:val="000000"/>
                <w:szCs w:val="24"/>
              </w:rPr>
              <w:t>Amount</w:t>
            </w:r>
          </w:p>
          <w:p w:rsidR="00B512C9" w:rsidRPr="008B07F5" w:rsidRDefault="00B512C9" w:rsidP="0081498D">
            <w:pPr>
              <w:tabs>
                <w:tab w:val="clear" w:pos="360"/>
              </w:tabs>
              <w:autoSpaceDE w:val="0"/>
              <w:autoSpaceDN w:val="0"/>
              <w:adjustRightInd w:val="0"/>
              <w:spacing w:before="60" w:after="60"/>
              <w:ind w:left="0"/>
              <w:jc w:val="center"/>
              <w:rPr>
                <w:rFonts w:ascii="Calibri" w:hAnsi="Calibri"/>
                <w:b/>
                <w:bCs/>
                <w:iCs/>
                <w:color w:val="000000"/>
                <w:sz w:val="20"/>
                <w:szCs w:val="24"/>
              </w:rPr>
            </w:pPr>
            <w:r w:rsidRPr="008B07F5">
              <w:rPr>
                <w:rFonts w:ascii="Calibri" w:hAnsi="Calibri"/>
                <w:b/>
                <w:bCs/>
                <w:iCs/>
                <w:color w:val="000000"/>
                <w:szCs w:val="24"/>
              </w:rPr>
              <w:t>(NGF 0300)</w:t>
            </w:r>
          </w:p>
        </w:tc>
      </w:tr>
      <w:tr w:rsidR="00B512C9" w:rsidRPr="0093655C" w:rsidTr="007637DA">
        <w:trPr>
          <w:trHeight w:val="301"/>
          <w:jc w:val="center"/>
        </w:trPr>
        <w:tc>
          <w:tcPr>
            <w:tcW w:w="6270" w:type="dxa"/>
            <w:vAlign w:val="bottom"/>
          </w:tcPr>
          <w:p w:rsidR="00B512C9" w:rsidRPr="0093655C" w:rsidRDefault="00B512C9" w:rsidP="0061172E">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Type">
                <w:r w:rsidRPr="0093655C">
                  <w:rPr>
                    <w:rFonts w:ascii="Calibri" w:hAnsi="Calibri"/>
                    <w:color w:val="000000"/>
                    <w:szCs w:val="24"/>
                  </w:rPr>
                  <w:t>College</w:t>
                </w:r>
              </w:smartTag>
              <w:r w:rsidRPr="0093655C">
                <w:rPr>
                  <w:rFonts w:ascii="Calibri" w:hAnsi="Calibri"/>
                  <w:color w:val="000000"/>
                  <w:szCs w:val="24"/>
                </w:rPr>
                <w:t xml:space="preserve"> of </w:t>
              </w:r>
              <w:smartTag w:uri="urn:schemas-microsoft-com:office:smarttags" w:element="PlaceName">
                <w:r w:rsidRPr="0093655C">
                  <w:rPr>
                    <w:rFonts w:ascii="Calibri" w:hAnsi="Calibri"/>
                    <w:color w:val="000000"/>
                    <w:szCs w:val="24"/>
                  </w:rPr>
                  <w:t>William</w:t>
                </w:r>
              </w:smartTag>
            </w:smartTag>
            <w:r w:rsidRPr="0093655C">
              <w:rPr>
                <w:rFonts w:ascii="Calibri" w:hAnsi="Calibri"/>
                <w:color w:val="000000"/>
                <w:szCs w:val="24"/>
              </w:rPr>
              <w:t xml:space="preserve"> and Mary</w:t>
            </w:r>
          </w:p>
        </w:tc>
        <w:tc>
          <w:tcPr>
            <w:tcW w:w="2130" w:type="dxa"/>
            <w:vAlign w:val="bottom"/>
          </w:tcPr>
          <w:p w:rsidR="00B512C9" w:rsidRPr="008B07F5" w:rsidRDefault="00B512C9" w:rsidP="0061172E">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$259,307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Type">
                <w:r w:rsidRPr="0093655C">
                  <w:rPr>
                    <w:rFonts w:ascii="Calibri" w:hAnsi="Calibri"/>
                    <w:color w:val="000000"/>
                    <w:szCs w:val="24"/>
                  </w:rPr>
                  <w:t>University</w:t>
                </w:r>
              </w:smartTag>
              <w:r w:rsidRPr="0093655C">
                <w:rPr>
                  <w:rFonts w:ascii="Calibri" w:hAnsi="Calibri"/>
                  <w:color w:val="000000"/>
                  <w:szCs w:val="24"/>
                </w:rPr>
                <w:t xml:space="preserve"> of </w:t>
              </w:r>
              <w:smartTag w:uri="urn:schemas-microsoft-com:office:smarttags" w:element="PlaceName">
                <w:r w:rsidRPr="0093655C">
                  <w:rPr>
                    <w:rFonts w:ascii="Calibri" w:hAnsi="Calibri"/>
                    <w:color w:val="000000"/>
                    <w:szCs w:val="24"/>
                  </w:rPr>
                  <w:t>Virginia</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$1,088,024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r w:rsidRPr="0093655C">
              <w:rPr>
                <w:rFonts w:ascii="Calibri" w:hAnsi="Calibri"/>
                <w:color w:val="000000"/>
                <w:szCs w:val="24"/>
              </w:rPr>
              <w:t xml:space="preserve">Virginia Polytechnic Institute and </w:t>
            </w:r>
            <w:smartTag w:uri="urn:schemas-microsoft-com:office:smarttags" w:element="place">
              <w:smartTag w:uri="urn:schemas-microsoft-com:office:smarttags" w:element="PlaceType">
                <w:r w:rsidRPr="0093655C">
                  <w:rPr>
                    <w:rFonts w:ascii="Calibri" w:hAnsi="Calibri"/>
                    <w:color w:val="000000"/>
                    <w:szCs w:val="24"/>
                  </w:rPr>
                  <w:t>State</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University</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$992,321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r w:rsidRPr="0093655C">
              <w:rPr>
                <w:rFonts w:ascii="Calibri" w:hAnsi="Calibri"/>
                <w:color w:val="000000"/>
                <w:szCs w:val="24"/>
              </w:rPr>
              <w:t>Virginia Military Institute</w:t>
            </w:r>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$88,844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Virginia</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State</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University</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$108,886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Norfolk</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State</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University</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$108,554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Longwood</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University</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$54,746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Mary</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Washington</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College</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$97,063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James</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Madison</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University</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$254,504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Radford</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University</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$135,235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Old</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Dominion</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University</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$374,473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Virginia</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Commonwealth</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University</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$401,647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Richard</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Bland</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College</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$2,027 </w:t>
            </w:r>
          </w:p>
        </w:tc>
      </w:tr>
      <w:tr w:rsidR="00BA4E57" w:rsidRPr="0093655C" w:rsidTr="007637DA">
        <w:trPr>
          <w:trHeight w:val="317"/>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Christopher</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Newport</w:t>
                </w:r>
              </w:smartTag>
              <w:r w:rsidRPr="0093655C">
                <w:rPr>
                  <w:rFonts w:ascii="Calibri" w:hAnsi="Calibri"/>
                  <w:color w:val="000000"/>
                  <w:szCs w:val="24"/>
                </w:rPr>
                <w:t xml:space="preserve"> </w:t>
              </w:r>
              <w:smartTag w:uri="urn:schemas-microsoft-com:office:smarttags" w:element="PlaceType">
                <w:r w:rsidRPr="0093655C">
                  <w:rPr>
                    <w:rFonts w:ascii="Calibri" w:hAnsi="Calibri"/>
                    <w:color w:val="000000"/>
                    <w:szCs w:val="24"/>
                  </w:rPr>
                  <w:t>University</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$17,899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r w:rsidRPr="0093655C">
              <w:rPr>
                <w:rFonts w:ascii="Calibri" w:hAnsi="Calibri"/>
                <w:color w:val="000000"/>
                <w:szCs w:val="24"/>
              </w:rPr>
              <w:t xml:space="preserve"> </w:t>
            </w:r>
            <w:smartTag w:uri="urn:schemas-microsoft-com:office:smarttags" w:element="place">
              <w:smartTag w:uri="urn:schemas-microsoft-com:office:smarttags" w:element="PlaceType">
                <w:r w:rsidRPr="0093655C">
                  <w:rPr>
                    <w:rFonts w:ascii="Calibri" w:hAnsi="Calibri"/>
                    <w:color w:val="000000"/>
                    <w:szCs w:val="24"/>
                  </w:rPr>
                  <w:t>University</w:t>
                </w:r>
              </w:smartTag>
              <w:r w:rsidRPr="0093655C">
                <w:rPr>
                  <w:rFonts w:ascii="Calibri" w:hAnsi="Calibri"/>
                  <w:color w:val="000000"/>
                  <w:szCs w:val="24"/>
                </w:rPr>
                <w:t xml:space="preserve"> of </w:t>
              </w:r>
              <w:smartTag w:uri="urn:schemas-microsoft-com:office:smarttags" w:element="PlaceName">
                <w:r w:rsidRPr="0093655C">
                  <w:rPr>
                    <w:rFonts w:ascii="Calibri" w:hAnsi="Calibri"/>
                    <w:color w:val="000000"/>
                    <w:szCs w:val="24"/>
                  </w:rPr>
                  <w:t>Virginia</w:t>
                </w:r>
              </w:smartTag>
            </w:smartTag>
            <w:r w:rsidRPr="0093655C">
              <w:rPr>
                <w:rFonts w:ascii="Calibri" w:hAnsi="Calibri"/>
                <w:color w:val="000000"/>
                <w:szCs w:val="24"/>
              </w:rPr>
              <w:t>'s College at Wise</w:t>
            </w:r>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$19,750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George</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Mason</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University</w:t>
                </w:r>
              </w:smartTag>
            </w:smartTag>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$205,665 </w:t>
            </w:r>
          </w:p>
        </w:tc>
      </w:tr>
      <w:tr w:rsidR="00BA4E57" w:rsidRPr="0093655C" w:rsidTr="007637DA">
        <w:trPr>
          <w:trHeight w:val="301"/>
          <w:jc w:val="center"/>
        </w:trPr>
        <w:tc>
          <w:tcPr>
            <w:tcW w:w="6270" w:type="dxa"/>
            <w:vAlign w:val="bottom"/>
          </w:tcPr>
          <w:p w:rsidR="00C977EF" w:rsidRPr="0093655C" w:rsidRDefault="00C977EF" w:rsidP="001B123D">
            <w:pPr>
              <w:tabs>
                <w:tab w:val="clear" w:pos="360"/>
              </w:tabs>
              <w:autoSpaceDE w:val="0"/>
              <w:autoSpaceDN w:val="0"/>
              <w:adjustRightInd w:val="0"/>
              <w:spacing w:before="60" w:after="60"/>
              <w:ind w:left="180"/>
              <w:rPr>
                <w:rFonts w:ascii="Calibri" w:hAnsi="Calibri"/>
                <w:color w:val="000000"/>
                <w:szCs w:val="24"/>
              </w:rPr>
            </w:pPr>
            <w:smartTag w:uri="urn:schemas-microsoft-com:office:smarttags" w:element="place">
              <w:smartTag w:uri="urn:schemas-microsoft-com:office:smarttags" w:element="PlaceName">
                <w:r w:rsidRPr="0093655C">
                  <w:rPr>
                    <w:rFonts w:ascii="Calibri" w:hAnsi="Calibri"/>
                    <w:color w:val="000000"/>
                    <w:szCs w:val="24"/>
                  </w:rPr>
                  <w:t>Virginia</w:t>
                </w:r>
              </w:smartTag>
              <w:r w:rsidRPr="0093655C">
                <w:rPr>
                  <w:rFonts w:ascii="Calibri" w:hAnsi="Calibri"/>
                  <w:color w:val="000000"/>
                  <w:szCs w:val="24"/>
                </w:rPr>
                <w:t xml:space="preserve"> </w:t>
              </w:r>
              <w:smartTag w:uri="urn:schemas-microsoft-com:office:smarttags" w:element="PlaceName">
                <w:r w:rsidRPr="0093655C">
                  <w:rPr>
                    <w:rFonts w:ascii="Calibri" w:hAnsi="Calibri"/>
                    <w:color w:val="000000"/>
                    <w:szCs w:val="24"/>
                  </w:rPr>
                  <w:t>Community College</w:t>
                </w:r>
              </w:smartTag>
            </w:smartTag>
            <w:r w:rsidRPr="0093655C">
              <w:rPr>
                <w:rFonts w:ascii="Calibri" w:hAnsi="Calibri"/>
                <w:color w:val="000000"/>
                <w:szCs w:val="24"/>
              </w:rPr>
              <w:t xml:space="preserve"> System</w:t>
            </w:r>
          </w:p>
        </w:tc>
        <w:tc>
          <w:tcPr>
            <w:tcW w:w="2130" w:type="dxa"/>
            <w:vAlign w:val="bottom"/>
          </w:tcPr>
          <w:p w:rsidR="00C977EF" w:rsidRPr="008B07F5" w:rsidRDefault="00C977EF" w:rsidP="001B123D">
            <w:pPr>
              <w:tabs>
                <w:tab w:val="clear" w:pos="360"/>
                <w:tab w:val="right" w:pos="2866"/>
              </w:tabs>
              <w:autoSpaceDE w:val="0"/>
              <w:autoSpaceDN w:val="0"/>
              <w:adjustRightInd w:val="0"/>
              <w:spacing w:before="60" w:after="60"/>
              <w:jc w:val="right"/>
              <w:rPr>
                <w:rFonts w:ascii="Calibri" w:hAnsi="Calibri"/>
                <w:color w:val="000000"/>
                <w:szCs w:val="24"/>
              </w:rPr>
            </w:pPr>
            <w:r w:rsidRPr="008B07F5">
              <w:rPr>
                <w:rFonts w:ascii="Calibri" w:hAnsi="Calibri"/>
                <w:color w:val="000000"/>
                <w:szCs w:val="24"/>
              </w:rPr>
              <w:t xml:space="preserve">$633,657 </w:t>
            </w:r>
          </w:p>
        </w:tc>
      </w:tr>
      <w:tr w:rsidR="00BA4E57" w:rsidRPr="0093655C" w:rsidTr="007637DA">
        <w:trPr>
          <w:trHeight w:val="317"/>
          <w:jc w:val="center"/>
        </w:trPr>
        <w:tc>
          <w:tcPr>
            <w:tcW w:w="6270" w:type="dxa"/>
            <w:tcBorders>
              <w:bottom w:val="single" w:sz="4" w:space="0" w:color="auto"/>
            </w:tcBorders>
          </w:tcPr>
          <w:p w:rsidR="00BA4E57" w:rsidRPr="0093655C" w:rsidRDefault="00BA4E57" w:rsidP="001B123D">
            <w:pPr>
              <w:tabs>
                <w:tab w:val="clear" w:pos="360"/>
              </w:tabs>
              <w:autoSpaceDE w:val="0"/>
              <w:autoSpaceDN w:val="0"/>
              <w:adjustRightInd w:val="0"/>
              <w:spacing w:before="60" w:after="60"/>
              <w:ind w:left="180"/>
              <w:jc w:val="center"/>
              <w:rPr>
                <w:rFonts w:ascii="Calibri" w:hAnsi="Calibri"/>
                <w:b/>
                <w:bCs/>
                <w:color w:val="000000"/>
                <w:szCs w:val="24"/>
              </w:rPr>
            </w:pPr>
          </w:p>
        </w:tc>
        <w:tc>
          <w:tcPr>
            <w:tcW w:w="2130" w:type="dxa"/>
            <w:tcBorders>
              <w:bottom w:val="single" w:sz="4" w:space="0" w:color="auto"/>
            </w:tcBorders>
          </w:tcPr>
          <w:p w:rsidR="00BA4E57" w:rsidRPr="0093655C" w:rsidRDefault="00BA4E57" w:rsidP="00C977EF">
            <w:pPr>
              <w:jc w:val="right"/>
              <w:rPr>
                <w:rFonts w:ascii="Calibri" w:hAnsi="Calibri"/>
                <w:b/>
                <w:bCs/>
              </w:rPr>
            </w:pPr>
          </w:p>
        </w:tc>
      </w:tr>
      <w:tr w:rsidR="00B512C9" w:rsidRPr="0093655C" w:rsidTr="007637DA">
        <w:trPr>
          <w:trHeight w:val="317"/>
          <w:jc w:val="center"/>
        </w:trPr>
        <w:tc>
          <w:tcPr>
            <w:tcW w:w="6270" w:type="dxa"/>
            <w:shd w:val="clear" w:color="auto" w:fill="999999"/>
            <w:vAlign w:val="bottom"/>
          </w:tcPr>
          <w:p w:rsidR="00B512C9" w:rsidRPr="0093655C" w:rsidRDefault="00B512C9" w:rsidP="0061172E">
            <w:pPr>
              <w:tabs>
                <w:tab w:val="clear" w:pos="360"/>
              </w:tabs>
              <w:spacing w:after="0"/>
              <w:ind w:left="0"/>
              <w:jc w:val="center"/>
              <w:rPr>
                <w:rFonts w:ascii="Calibri" w:hAnsi="Calibri"/>
                <w:b/>
                <w:bCs/>
                <w:szCs w:val="24"/>
              </w:rPr>
            </w:pPr>
            <w:r w:rsidRPr="0093655C">
              <w:rPr>
                <w:rFonts w:ascii="Calibri" w:hAnsi="Calibri"/>
                <w:b/>
                <w:bCs/>
                <w:szCs w:val="24"/>
              </w:rPr>
              <w:t>Total</w:t>
            </w:r>
          </w:p>
        </w:tc>
        <w:tc>
          <w:tcPr>
            <w:tcW w:w="2130" w:type="dxa"/>
            <w:shd w:val="clear" w:color="auto" w:fill="999999"/>
            <w:vAlign w:val="bottom"/>
          </w:tcPr>
          <w:p w:rsidR="00B512C9" w:rsidRPr="0093655C" w:rsidRDefault="00B512C9" w:rsidP="0061172E">
            <w:pPr>
              <w:tabs>
                <w:tab w:val="clear" w:pos="360"/>
              </w:tabs>
              <w:spacing w:after="0"/>
              <w:ind w:left="0"/>
              <w:jc w:val="right"/>
              <w:rPr>
                <w:rFonts w:ascii="Calibri" w:hAnsi="Calibri"/>
                <w:b/>
                <w:bCs/>
                <w:szCs w:val="24"/>
              </w:rPr>
            </w:pPr>
            <w:r w:rsidRPr="0093655C">
              <w:rPr>
                <w:rFonts w:ascii="Calibri" w:hAnsi="Calibri"/>
                <w:b/>
                <w:bCs/>
              </w:rPr>
              <w:t>$4,842,602</w:t>
            </w:r>
          </w:p>
        </w:tc>
      </w:tr>
    </w:tbl>
    <w:p w:rsidR="00CC50F4" w:rsidRPr="0093655C" w:rsidRDefault="00CC50F4" w:rsidP="00CC50F4">
      <w:pPr>
        <w:tabs>
          <w:tab w:val="clear" w:pos="360"/>
          <w:tab w:val="left" w:pos="7070"/>
          <w:tab w:val="left" w:pos="9058"/>
        </w:tabs>
        <w:autoSpaceDE w:val="0"/>
        <w:autoSpaceDN w:val="0"/>
        <w:adjustRightInd w:val="0"/>
        <w:jc w:val="center"/>
        <w:rPr>
          <w:rFonts w:ascii="Calibri" w:hAnsi="Calibri"/>
        </w:rPr>
      </w:pPr>
    </w:p>
    <w:p w:rsidR="00C977EF" w:rsidRPr="0093655C" w:rsidRDefault="00C977EF" w:rsidP="00CC50F4">
      <w:pPr>
        <w:tabs>
          <w:tab w:val="clear" w:pos="360"/>
          <w:tab w:val="left" w:pos="7070"/>
          <w:tab w:val="left" w:pos="9058"/>
        </w:tabs>
        <w:autoSpaceDE w:val="0"/>
        <w:autoSpaceDN w:val="0"/>
        <w:adjustRightInd w:val="0"/>
        <w:jc w:val="center"/>
        <w:rPr>
          <w:rFonts w:ascii="Calibri" w:hAnsi="Calibri"/>
        </w:rPr>
      </w:pPr>
    </w:p>
    <w:p w:rsidR="00CC50F4" w:rsidRPr="008B07F5" w:rsidRDefault="00CC50F4" w:rsidP="00CC50F4">
      <w:pPr>
        <w:tabs>
          <w:tab w:val="clear" w:pos="360"/>
          <w:tab w:val="left" w:pos="7070"/>
          <w:tab w:val="left" w:pos="9058"/>
        </w:tabs>
        <w:autoSpaceDE w:val="0"/>
        <w:autoSpaceDN w:val="0"/>
        <w:adjustRightInd w:val="0"/>
        <w:rPr>
          <w:rFonts w:ascii="Calibri" w:hAnsi="Calibri"/>
          <w:b/>
          <w:i/>
        </w:rPr>
      </w:pPr>
      <w:r w:rsidRPr="008B07F5">
        <w:rPr>
          <w:rFonts w:ascii="Calibri" w:hAnsi="Calibri"/>
          <w:b/>
          <w:i/>
        </w:rPr>
        <w:t xml:space="preserve">*Table reflects amounts in Item </w:t>
      </w:r>
      <w:r w:rsidR="00DD29C1" w:rsidRPr="008B07F5">
        <w:rPr>
          <w:rFonts w:ascii="Calibri" w:hAnsi="Calibri"/>
          <w:b/>
          <w:i/>
        </w:rPr>
        <w:t>2</w:t>
      </w:r>
      <w:r w:rsidR="00B74EA5" w:rsidRPr="008B07F5">
        <w:rPr>
          <w:rFonts w:ascii="Calibri" w:hAnsi="Calibri"/>
          <w:b/>
          <w:i/>
        </w:rPr>
        <w:t>76</w:t>
      </w:r>
      <w:r w:rsidRPr="008B07F5">
        <w:rPr>
          <w:rFonts w:ascii="Calibri" w:hAnsi="Calibri"/>
          <w:b/>
          <w:i/>
        </w:rPr>
        <w:t>, Paragraph E.</w:t>
      </w:r>
      <w:r w:rsidR="00B74EA5" w:rsidRPr="008B07F5">
        <w:rPr>
          <w:rFonts w:ascii="Calibri" w:hAnsi="Calibri"/>
          <w:b/>
          <w:i/>
        </w:rPr>
        <w:t>5</w:t>
      </w:r>
      <w:r w:rsidRPr="008B07F5">
        <w:rPr>
          <w:rFonts w:ascii="Calibri" w:hAnsi="Calibri"/>
          <w:b/>
          <w:i/>
        </w:rPr>
        <w:t>.</w:t>
      </w:r>
    </w:p>
    <w:p w:rsidR="00CC50F4" w:rsidRPr="00DA13A6" w:rsidRDefault="00CC50F4" w:rsidP="00CC50F4">
      <w:pPr>
        <w:spacing w:after="0"/>
        <w:ind w:left="0" w:right="720"/>
        <w:jc w:val="center"/>
        <w:rPr>
          <w:rFonts w:ascii="Calibri" w:hAnsi="Calibri" w:cs="Arial"/>
          <w:b/>
          <w:i/>
          <w:sz w:val="36"/>
          <w:szCs w:val="36"/>
        </w:rPr>
      </w:pPr>
      <w:r w:rsidRPr="0093655C">
        <w:rPr>
          <w:rFonts w:ascii="Calibri" w:hAnsi="Calibri"/>
        </w:rPr>
        <w:br w:type="page"/>
      </w:r>
      <w:bookmarkStart w:id="28" w:name="_Toc102895228"/>
      <w:bookmarkStart w:id="29" w:name="_Toc101848208"/>
      <w:r w:rsidR="00EB48D3" w:rsidRPr="00DA13A6">
        <w:rPr>
          <w:rFonts w:ascii="Calibri" w:hAnsi="Calibri" w:cs="Arial"/>
          <w:b/>
          <w:i/>
          <w:sz w:val="36"/>
          <w:szCs w:val="36"/>
        </w:rPr>
        <w:lastRenderedPageBreak/>
        <w:t xml:space="preserve">Appendix </w:t>
      </w:r>
      <w:r w:rsidR="003164EB">
        <w:rPr>
          <w:rFonts w:ascii="Calibri" w:hAnsi="Calibri" w:cs="Arial"/>
          <w:b/>
          <w:i/>
          <w:sz w:val="36"/>
          <w:szCs w:val="36"/>
        </w:rPr>
        <w:t>E</w:t>
      </w:r>
    </w:p>
    <w:p w:rsidR="00DA13A6" w:rsidRPr="00843527" w:rsidRDefault="00DA13A6" w:rsidP="00CC50F4">
      <w:pPr>
        <w:spacing w:after="0"/>
        <w:ind w:left="0" w:right="720"/>
        <w:jc w:val="center"/>
        <w:rPr>
          <w:rFonts w:ascii="Calibri" w:hAnsi="Calibri" w:cs="Arial"/>
          <w:b/>
          <w:sz w:val="36"/>
          <w:szCs w:val="36"/>
        </w:rPr>
      </w:pPr>
    </w:p>
    <w:p w:rsidR="00CC50F4" w:rsidRPr="0093655C" w:rsidRDefault="00C03140" w:rsidP="00CC50F4">
      <w:pPr>
        <w:pStyle w:val="Heading1"/>
        <w:spacing w:before="0" w:after="0"/>
        <w:rPr>
          <w:rFonts w:ascii="Calibri" w:hAnsi="Calibri"/>
        </w:rPr>
      </w:pPr>
      <w:r w:rsidRPr="0093655C">
        <w:rPr>
          <w:rFonts w:ascii="Calibri" w:hAnsi="Calibri" w:cs="Arial"/>
        </w:rPr>
        <w:t xml:space="preserve">FY </w:t>
      </w:r>
      <w:r w:rsidR="00570627">
        <w:rPr>
          <w:rFonts w:ascii="Calibri" w:hAnsi="Calibri" w:cs="Arial"/>
        </w:rPr>
        <w:t>2015</w:t>
      </w:r>
      <w:r w:rsidR="00BD203B" w:rsidRPr="0093655C">
        <w:rPr>
          <w:rFonts w:ascii="Calibri" w:hAnsi="Calibri" w:cs="Arial"/>
        </w:rPr>
        <w:t xml:space="preserve"> </w:t>
      </w:r>
      <w:r w:rsidR="00CC50F4" w:rsidRPr="0093655C">
        <w:rPr>
          <w:rFonts w:ascii="Calibri" w:hAnsi="Calibri" w:cs="Arial"/>
        </w:rPr>
        <w:t>Capital Fee for Out-of-State Students</w:t>
      </w:r>
      <w:bookmarkEnd w:id="28"/>
      <w:bookmarkEnd w:id="29"/>
      <w:r w:rsidR="00E67CE0" w:rsidRPr="0093655C">
        <w:rPr>
          <w:rFonts w:ascii="Calibri" w:hAnsi="Calibri" w:cs="Arial"/>
        </w:rPr>
        <w:t xml:space="preserve"> *</w:t>
      </w:r>
    </w:p>
    <w:p w:rsidR="00CC50F4" w:rsidRPr="00760173" w:rsidRDefault="00CC50F4" w:rsidP="00760173">
      <w:pPr>
        <w:tabs>
          <w:tab w:val="clear" w:pos="360"/>
          <w:tab w:val="left" w:pos="7070"/>
          <w:tab w:val="left" w:pos="9058"/>
        </w:tabs>
        <w:autoSpaceDE w:val="0"/>
        <w:autoSpaceDN w:val="0"/>
        <w:adjustRightInd w:val="0"/>
        <w:ind w:left="90"/>
        <w:rPr>
          <w:rFonts w:ascii="Calibri" w:hAnsi="Calibri" w:cs="Arial"/>
          <w:b/>
          <w:bCs/>
          <w:color w:val="000000"/>
          <w:szCs w:val="24"/>
        </w:rPr>
      </w:pPr>
    </w:p>
    <w:bookmarkEnd w:id="25"/>
    <w:bookmarkEnd w:id="26"/>
    <w:bookmarkEnd w:id="27"/>
    <w:tbl>
      <w:tblPr>
        <w:tblW w:w="7920" w:type="dxa"/>
        <w:tblInd w:w="88" w:type="dxa"/>
        <w:tblLook w:val="0000"/>
      </w:tblPr>
      <w:tblGrid>
        <w:gridCol w:w="1520"/>
        <w:gridCol w:w="1600"/>
        <w:gridCol w:w="1760"/>
        <w:gridCol w:w="1500"/>
        <w:gridCol w:w="1540"/>
      </w:tblGrid>
      <w:tr w:rsidR="006748C7" w:rsidRPr="0093655C" w:rsidTr="006748C7">
        <w:trPr>
          <w:trHeight w:val="405"/>
        </w:trPr>
        <w:tc>
          <w:tcPr>
            <w:tcW w:w="1520" w:type="dxa"/>
            <w:tcBorders>
              <w:top w:val="nil"/>
              <w:left w:val="nil"/>
              <w:bottom w:val="nil"/>
              <w:right w:val="nil"/>
            </w:tcBorders>
            <w:shd w:val="clear" w:color="auto" w:fill="auto"/>
            <w:noWrap/>
            <w:vAlign w:val="bottom"/>
          </w:tcPr>
          <w:p w:rsidR="006748C7" w:rsidRPr="0093655C" w:rsidRDefault="006748C7" w:rsidP="00675B08">
            <w:pPr>
              <w:tabs>
                <w:tab w:val="clear" w:pos="360"/>
              </w:tabs>
              <w:spacing w:after="0"/>
              <w:ind w:left="0"/>
              <w:rPr>
                <w:rFonts w:ascii="Calibri" w:hAnsi="Calibri"/>
                <w:sz w:val="20"/>
              </w:rPr>
            </w:pPr>
          </w:p>
        </w:tc>
        <w:tc>
          <w:tcPr>
            <w:tcW w:w="1600" w:type="dxa"/>
            <w:tcBorders>
              <w:top w:val="nil"/>
              <w:left w:val="nil"/>
              <w:bottom w:val="nil"/>
              <w:right w:val="nil"/>
            </w:tcBorders>
            <w:shd w:val="clear" w:color="auto" w:fill="auto"/>
            <w:noWrap/>
            <w:vAlign w:val="bottom"/>
          </w:tcPr>
          <w:p w:rsidR="006748C7" w:rsidRPr="0093655C" w:rsidRDefault="006748C7" w:rsidP="00675B08">
            <w:pPr>
              <w:tabs>
                <w:tab w:val="clear" w:pos="360"/>
              </w:tabs>
              <w:spacing w:after="0"/>
              <w:ind w:left="0"/>
              <w:rPr>
                <w:rFonts w:ascii="Calibri" w:hAnsi="Calibri"/>
                <w:sz w:val="20"/>
              </w:rPr>
            </w:pPr>
          </w:p>
        </w:tc>
        <w:tc>
          <w:tcPr>
            <w:tcW w:w="1760" w:type="dxa"/>
            <w:tcBorders>
              <w:top w:val="nil"/>
              <w:left w:val="nil"/>
              <w:bottom w:val="nil"/>
              <w:right w:val="nil"/>
            </w:tcBorders>
            <w:shd w:val="clear" w:color="auto" w:fill="auto"/>
            <w:noWrap/>
            <w:vAlign w:val="bottom"/>
          </w:tcPr>
          <w:p w:rsidR="006748C7" w:rsidRPr="0093655C" w:rsidRDefault="006748C7" w:rsidP="00675B08">
            <w:pPr>
              <w:tabs>
                <w:tab w:val="clear" w:pos="360"/>
              </w:tabs>
              <w:spacing w:after="0"/>
              <w:ind w:left="0"/>
              <w:rPr>
                <w:rFonts w:ascii="Calibri" w:hAnsi="Calibri"/>
                <w:sz w:val="20"/>
              </w:rPr>
            </w:pPr>
          </w:p>
        </w:tc>
        <w:tc>
          <w:tcPr>
            <w:tcW w:w="1500" w:type="dxa"/>
            <w:tcBorders>
              <w:top w:val="nil"/>
              <w:left w:val="nil"/>
              <w:bottom w:val="nil"/>
              <w:right w:val="nil"/>
            </w:tcBorders>
            <w:shd w:val="clear" w:color="auto" w:fill="auto"/>
            <w:noWrap/>
            <w:vAlign w:val="bottom"/>
          </w:tcPr>
          <w:p w:rsidR="006748C7" w:rsidRPr="0093655C" w:rsidRDefault="006748C7" w:rsidP="00675B08">
            <w:pPr>
              <w:tabs>
                <w:tab w:val="clear" w:pos="360"/>
              </w:tabs>
              <w:spacing w:after="0"/>
              <w:ind w:left="0"/>
              <w:rPr>
                <w:rFonts w:ascii="Calibri" w:hAnsi="Calibri"/>
                <w:sz w:val="20"/>
              </w:rPr>
            </w:pPr>
          </w:p>
        </w:tc>
        <w:tc>
          <w:tcPr>
            <w:tcW w:w="1540" w:type="dxa"/>
            <w:tcBorders>
              <w:top w:val="nil"/>
              <w:left w:val="nil"/>
              <w:bottom w:val="nil"/>
              <w:right w:val="nil"/>
            </w:tcBorders>
            <w:shd w:val="clear" w:color="auto" w:fill="auto"/>
            <w:noWrap/>
            <w:vAlign w:val="bottom"/>
          </w:tcPr>
          <w:p w:rsidR="006748C7" w:rsidRPr="0093655C" w:rsidRDefault="006748C7" w:rsidP="00675B08">
            <w:pPr>
              <w:tabs>
                <w:tab w:val="clear" w:pos="360"/>
              </w:tabs>
              <w:spacing w:after="0"/>
              <w:ind w:left="0"/>
              <w:rPr>
                <w:rFonts w:ascii="Calibri" w:hAnsi="Calibri"/>
                <w:sz w:val="20"/>
              </w:rPr>
            </w:pPr>
          </w:p>
        </w:tc>
      </w:tr>
    </w:tbl>
    <w:p w:rsidR="00843527" w:rsidRDefault="00843527" w:rsidP="00F165E0">
      <w:pPr>
        <w:spacing w:after="0"/>
        <w:ind w:left="0" w:right="720"/>
        <w:rPr>
          <w:rFonts w:ascii="Calibri" w:hAnsi="Calibri" w:cs="Arial"/>
          <w:sz w:val="20"/>
        </w:rPr>
      </w:pPr>
    </w:p>
    <w:p w:rsidR="006748C7" w:rsidRDefault="006748C7" w:rsidP="006748C7">
      <w:pPr>
        <w:tabs>
          <w:tab w:val="clear" w:pos="360"/>
          <w:tab w:val="left" w:pos="7470"/>
          <w:tab w:val="left" w:pos="9058"/>
        </w:tabs>
        <w:autoSpaceDE w:val="0"/>
        <w:autoSpaceDN w:val="0"/>
        <w:adjustRightInd w:val="0"/>
        <w:ind w:left="1440"/>
        <w:rPr>
          <w:rFonts w:ascii="Bookman Old Style" w:hAnsi="Bookman Old Style" w:cs="Arial"/>
          <w:b/>
          <w:bCs/>
          <w:color w:val="000000"/>
          <w:szCs w:val="24"/>
        </w:rPr>
      </w:pPr>
      <w:r>
        <w:rPr>
          <w:rFonts w:ascii="Bookman Old Style" w:hAnsi="Bookman Old Style" w:cs="Arial"/>
          <w:b/>
          <w:bCs/>
          <w:color w:val="000000"/>
          <w:szCs w:val="24"/>
        </w:rPr>
        <w:t>Institution</w:t>
      </w:r>
      <w:r>
        <w:rPr>
          <w:rFonts w:ascii="Bookman Old Style" w:hAnsi="Bookman Old Style" w:cs="Arial"/>
          <w:b/>
          <w:bCs/>
          <w:color w:val="000000"/>
          <w:szCs w:val="24"/>
        </w:rPr>
        <w:tab/>
        <w:t>FY 2015</w:t>
      </w:r>
    </w:p>
    <w:tbl>
      <w:tblPr>
        <w:tblW w:w="8419" w:type="dxa"/>
        <w:jc w:val="center"/>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6068"/>
        <w:gridCol w:w="2351"/>
      </w:tblGrid>
      <w:tr w:rsidR="006748C7" w:rsidRPr="00A43383" w:rsidTr="008B07F5">
        <w:trPr>
          <w:trHeight w:val="301"/>
          <w:jc w:val="center"/>
        </w:trPr>
        <w:tc>
          <w:tcPr>
            <w:tcW w:w="6068" w:type="dxa"/>
            <w:tcBorders>
              <w:top w:val="single" w:sz="4" w:space="0" w:color="auto"/>
            </w:tcBorders>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George Mason University</w:t>
            </w:r>
          </w:p>
        </w:tc>
        <w:tc>
          <w:tcPr>
            <w:tcW w:w="2351" w:type="dxa"/>
            <w:tcBorders>
              <w:top w:val="single" w:sz="4" w:space="0" w:color="auto"/>
            </w:tcBorders>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2,535,489</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Old Dominion University</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1,059,300</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University of Virginia</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4,670,622</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Virginia Polytechnic Institute and State University</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4,656,663</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Virginia Commonwealth University</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2,132,460</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College of William and Mary</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1,493,811</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Christopher Newport University</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112,167</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University of Virginia</w:t>
            </w:r>
            <w:r>
              <w:rPr>
                <w:rFonts w:ascii="Bookman Old Style" w:hAnsi="Bookman Old Style" w:cs="Arial"/>
                <w:szCs w:val="24"/>
              </w:rPr>
              <w:t>’s College at Wise</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48,510</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Pr>
                <w:rFonts w:ascii="Bookman Old Style" w:hAnsi="Bookman Old Style" w:cs="Arial"/>
                <w:szCs w:val="24"/>
              </w:rPr>
              <w:t>James Madison University</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2,635,578</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Norfolk State University</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458,766</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Longwood University</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111,276</w:t>
            </w:r>
          </w:p>
        </w:tc>
      </w:tr>
      <w:tr w:rsidR="006748C7" w:rsidRPr="00A43383" w:rsidTr="008B07F5">
        <w:trPr>
          <w:trHeight w:val="317"/>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Pr>
                <w:rFonts w:ascii="Bookman Old Style" w:hAnsi="Bookman Old Style" w:cs="Arial"/>
                <w:szCs w:val="24"/>
              </w:rPr>
              <w:t xml:space="preserve">University of </w:t>
            </w:r>
            <w:r w:rsidRPr="00A43383">
              <w:rPr>
                <w:rFonts w:ascii="Bookman Old Style" w:hAnsi="Bookman Old Style" w:cs="Arial"/>
                <w:szCs w:val="24"/>
              </w:rPr>
              <w:t xml:space="preserve">Mary Washington </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293,535</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Radford University</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275,022</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Virginia Military Institute</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370,260</w:t>
            </w:r>
          </w:p>
        </w:tc>
      </w:tr>
      <w:tr w:rsidR="006748C7" w:rsidRPr="00A43383" w:rsidTr="008B07F5">
        <w:trPr>
          <w:trHeight w:val="301"/>
          <w:jc w:val="center"/>
        </w:trPr>
        <w:tc>
          <w:tcPr>
            <w:tcW w:w="6068" w:type="dxa"/>
            <w:vAlign w:val="bottom"/>
          </w:tcPr>
          <w:p w:rsidR="006748C7" w:rsidRPr="00A43383" w:rsidRDefault="006748C7" w:rsidP="008B07F5">
            <w:pPr>
              <w:tabs>
                <w:tab w:val="clear" w:pos="360"/>
              </w:tabs>
              <w:spacing w:before="120" w:after="0"/>
              <w:ind w:left="130"/>
              <w:rPr>
                <w:rFonts w:ascii="Bookman Old Style" w:hAnsi="Bookman Old Style" w:cs="Arial"/>
                <w:szCs w:val="24"/>
              </w:rPr>
            </w:pPr>
            <w:r w:rsidRPr="00A43383">
              <w:rPr>
                <w:rFonts w:ascii="Bookman Old Style" w:hAnsi="Bookman Old Style" w:cs="Arial"/>
                <w:szCs w:val="24"/>
              </w:rPr>
              <w:t>Virginia State University</w:t>
            </w:r>
          </w:p>
        </w:tc>
        <w:tc>
          <w:tcPr>
            <w:tcW w:w="2351" w:type="dxa"/>
            <w:vAlign w:val="bottom"/>
          </w:tcPr>
          <w:p w:rsidR="006748C7" w:rsidRPr="00A43383" w:rsidRDefault="006748C7" w:rsidP="008B07F5">
            <w:pPr>
              <w:tabs>
                <w:tab w:val="clear" w:pos="360"/>
              </w:tabs>
              <w:spacing w:before="120" w:after="0"/>
              <w:ind w:left="0"/>
              <w:jc w:val="right"/>
              <w:rPr>
                <w:rFonts w:ascii="Bookman Old Style" w:hAnsi="Bookman Old Style" w:cs="Arial"/>
                <w:szCs w:val="24"/>
              </w:rPr>
            </w:pPr>
            <w:r w:rsidRPr="00A43383">
              <w:rPr>
                <w:rFonts w:ascii="Bookman Old Style" w:hAnsi="Bookman Old Style" w:cs="Arial"/>
                <w:szCs w:val="24"/>
              </w:rPr>
              <w:t>$</w:t>
            </w:r>
            <w:r>
              <w:rPr>
                <w:rFonts w:ascii="Bookman Old Style" w:hAnsi="Bookman Old Style" w:cs="Arial"/>
                <w:szCs w:val="24"/>
              </w:rPr>
              <w:t>845,856</w:t>
            </w:r>
          </w:p>
        </w:tc>
      </w:tr>
      <w:tr w:rsidR="006748C7" w:rsidRPr="00A43383" w:rsidTr="006748C7">
        <w:trPr>
          <w:trHeight w:val="317"/>
          <w:jc w:val="center"/>
        </w:trPr>
        <w:tc>
          <w:tcPr>
            <w:tcW w:w="6068" w:type="dxa"/>
            <w:tcBorders>
              <w:bottom w:val="single" w:sz="4" w:space="0" w:color="auto"/>
            </w:tcBorders>
            <w:shd w:val="clear" w:color="auto" w:fill="auto"/>
            <w:vAlign w:val="bottom"/>
          </w:tcPr>
          <w:p w:rsidR="006748C7" w:rsidRPr="009C2EF5" w:rsidRDefault="006748C7" w:rsidP="008B07F5">
            <w:pPr>
              <w:tabs>
                <w:tab w:val="clear" w:pos="360"/>
              </w:tabs>
              <w:spacing w:before="120" w:after="0"/>
              <w:ind w:left="130"/>
              <w:rPr>
                <w:rFonts w:ascii="Bookman Old Style" w:hAnsi="Bookman Old Style" w:cs="Arial"/>
                <w:szCs w:val="24"/>
              </w:rPr>
            </w:pPr>
            <w:r>
              <w:rPr>
                <w:rFonts w:ascii="Bookman Old Style" w:hAnsi="Bookman Old Style" w:cs="Arial"/>
                <w:szCs w:val="24"/>
              </w:rPr>
              <w:t>Richard Bland College</w:t>
            </w:r>
          </w:p>
        </w:tc>
        <w:tc>
          <w:tcPr>
            <w:tcW w:w="2351" w:type="dxa"/>
            <w:tcBorders>
              <w:bottom w:val="single" w:sz="4" w:space="0" w:color="auto"/>
            </w:tcBorders>
            <w:shd w:val="clear" w:color="auto" w:fill="auto"/>
            <w:vAlign w:val="bottom"/>
          </w:tcPr>
          <w:p w:rsidR="006748C7" w:rsidRPr="009C2EF5" w:rsidRDefault="006748C7" w:rsidP="008B07F5">
            <w:pPr>
              <w:tabs>
                <w:tab w:val="clear" w:pos="360"/>
              </w:tabs>
              <w:spacing w:before="120" w:after="0"/>
              <w:ind w:left="0"/>
              <w:jc w:val="right"/>
              <w:rPr>
                <w:rFonts w:ascii="Bookman Old Style" w:hAnsi="Bookman Old Style" w:cs="Arial"/>
                <w:szCs w:val="24"/>
              </w:rPr>
            </w:pPr>
            <w:r>
              <w:rPr>
                <w:rFonts w:ascii="Bookman Old Style" w:hAnsi="Bookman Old Style" w:cs="Arial"/>
                <w:szCs w:val="24"/>
              </w:rPr>
              <w:t>$9,900</w:t>
            </w:r>
          </w:p>
        </w:tc>
      </w:tr>
      <w:tr w:rsidR="006748C7" w:rsidRPr="00A43383" w:rsidTr="006748C7">
        <w:trPr>
          <w:trHeight w:val="317"/>
          <w:jc w:val="center"/>
        </w:trPr>
        <w:tc>
          <w:tcPr>
            <w:tcW w:w="6068" w:type="dxa"/>
            <w:tcBorders>
              <w:bottom w:val="single" w:sz="4" w:space="0" w:color="auto"/>
            </w:tcBorders>
            <w:shd w:val="clear" w:color="auto" w:fill="auto"/>
            <w:vAlign w:val="bottom"/>
          </w:tcPr>
          <w:p w:rsidR="006748C7" w:rsidRPr="009C2EF5" w:rsidRDefault="006748C7" w:rsidP="008B07F5">
            <w:pPr>
              <w:tabs>
                <w:tab w:val="clear" w:pos="360"/>
              </w:tabs>
              <w:spacing w:before="120" w:after="0"/>
              <w:ind w:left="130"/>
              <w:rPr>
                <w:rFonts w:ascii="Bookman Old Style" w:hAnsi="Bookman Old Style" w:cs="Arial"/>
                <w:szCs w:val="24"/>
              </w:rPr>
            </w:pPr>
            <w:r>
              <w:rPr>
                <w:rFonts w:ascii="Bookman Old Style" w:hAnsi="Bookman Old Style" w:cs="Arial"/>
                <w:szCs w:val="24"/>
              </w:rPr>
              <w:t>Virginia Community College System</w:t>
            </w:r>
          </w:p>
        </w:tc>
        <w:tc>
          <w:tcPr>
            <w:tcW w:w="2351" w:type="dxa"/>
            <w:tcBorders>
              <w:bottom w:val="single" w:sz="4" w:space="0" w:color="auto"/>
            </w:tcBorders>
            <w:shd w:val="clear" w:color="auto" w:fill="auto"/>
            <w:vAlign w:val="bottom"/>
          </w:tcPr>
          <w:p w:rsidR="006748C7" w:rsidRPr="009C2EF5" w:rsidRDefault="006748C7" w:rsidP="008B07F5">
            <w:pPr>
              <w:tabs>
                <w:tab w:val="clear" w:pos="360"/>
              </w:tabs>
              <w:spacing w:before="120" w:after="0"/>
              <w:ind w:left="0"/>
              <w:jc w:val="right"/>
              <w:rPr>
                <w:rFonts w:ascii="Bookman Old Style" w:hAnsi="Bookman Old Style" w:cs="Arial"/>
                <w:szCs w:val="24"/>
              </w:rPr>
            </w:pPr>
            <w:r>
              <w:rPr>
                <w:rFonts w:ascii="Bookman Old Style" w:hAnsi="Bookman Old Style" w:cs="Arial"/>
                <w:szCs w:val="24"/>
              </w:rPr>
              <w:t>$3,222,450</w:t>
            </w:r>
          </w:p>
        </w:tc>
      </w:tr>
      <w:tr w:rsidR="006748C7" w:rsidRPr="00A43383" w:rsidTr="006748C7">
        <w:trPr>
          <w:trHeight w:val="317"/>
          <w:jc w:val="center"/>
        </w:trPr>
        <w:tc>
          <w:tcPr>
            <w:tcW w:w="6068" w:type="dxa"/>
            <w:tcBorders>
              <w:top w:val="single" w:sz="4" w:space="0" w:color="auto"/>
              <w:left w:val="nil"/>
              <w:bottom w:val="nil"/>
              <w:right w:val="nil"/>
            </w:tcBorders>
            <w:shd w:val="clear" w:color="auto" w:fill="auto"/>
            <w:vAlign w:val="bottom"/>
          </w:tcPr>
          <w:p w:rsidR="006748C7" w:rsidRDefault="006748C7" w:rsidP="008B07F5">
            <w:pPr>
              <w:tabs>
                <w:tab w:val="clear" w:pos="360"/>
              </w:tabs>
              <w:spacing w:before="120" w:after="0"/>
              <w:ind w:left="0"/>
              <w:jc w:val="center"/>
              <w:rPr>
                <w:rFonts w:ascii="Bookman Old Style" w:hAnsi="Bookman Old Style" w:cs="Arial"/>
                <w:b/>
                <w:bCs/>
                <w:szCs w:val="24"/>
              </w:rPr>
            </w:pPr>
          </w:p>
          <w:p w:rsidR="006748C7" w:rsidRPr="00A43383" w:rsidRDefault="006748C7" w:rsidP="008B07F5">
            <w:pPr>
              <w:tabs>
                <w:tab w:val="clear" w:pos="360"/>
              </w:tabs>
              <w:spacing w:before="120" w:after="0"/>
              <w:ind w:left="0"/>
              <w:jc w:val="center"/>
              <w:rPr>
                <w:rFonts w:ascii="Bookman Old Style" w:hAnsi="Bookman Old Style" w:cs="Arial"/>
                <w:b/>
                <w:bCs/>
                <w:szCs w:val="24"/>
              </w:rPr>
            </w:pPr>
            <w:r w:rsidRPr="00A43383">
              <w:rPr>
                <w:rFonts w:ascii="Bookman Old Style" w:hAnsi="Bookman Old Style" w:cs="Arial"/>
                <w:b/>
                <w:bCs/>
                <w:szCs w:val="24"/>
              </w:rPr>
              <w:t>TOTAL</w:t>
            </w:r>
          </w:p>
        </w:tc>
        <w:tc>
          <w:tcPr>
            <w:tcW w:w="2351" w:type="dxa"/>
            <w:tcBorders>
              <w:top w:val="single" w:sz="4" w:space="0" w:color="auto"/>
              <w:left w:val="nil"/>
              <w:bottom w:val="nil"/>
              <w:right w:val="nil"/>
            </w:tcBorders>
            <w:shd w:val="clear" w:color="auto" w:fill="auto"/>
            <w:vAlign w:val="bottom"/>
          </w:tcPr>
          <w:p w:rsidR="006748C7" w:rsidRPr="00A43383" w:rsidRDefault="006748C7" w:rsidP="008B07F5">
            <w:pPr>
              <w:tabs>
                <w:tab w:val="clear" w:pos="360"/>
              </w:tabs>
              <w:spacing w:before="120" w:after="0"/>
              <w:ind w:left="0"/>
              <w:jc w:val="right"/>
              <w:rPr>
                <w:rFonts w:ascii="Bookman Old Style" w:hAnsi="Bookman Old Style" w:cs="Arial"/>
                <w:b/>
                <w:bCs/>
                <w:szCs w:val="24"/>
              </w:rPr>
            </w:pPr>
            <w:r w:rsidRPr="00A43383">
              <w:rPr>
                <w:rFonts w:ascii="Bookman Old Style" w:hAnsi="Bookman Old Style" w:cs="Arial"/>
                <w:b/>
                <w:bCs/>
                <w:szCs w:val="24"/>
              </w:rPr>
              <w:t>$</w:t>
            </w:r>
            <w:r>
              <w:rPr>
                <w:rFonts w:ascii="Bookman Old Style" w:hAnsi="Bookman Old Style" w:cs="Arial"/>
                <w:b/>
                <w:bCs/>
                <w:szCs w:val="24"/>
              </w:rPr>
              <w:t>24,931,665</w:t>
            </w:r>
          </w:p>
        </w:tc>
      </w:tr>
    </w:tbl>
    <w:p w:rsidR="006748C7" w:rsidRDefault="006748C7" w:rsidP="006748C7">
      <w:pPr>
        <w:tabs>
          <w:tab w:val="clear" w:pos="360"/>
          <w:tab w:val="left" w:pos="7070"/>
          <w:tab w:val="left" w:pos="9058"/>
        </w:tabs>
        <w:autoSpaceDE w:val="0"/>
        <w:autoSpaceDN w:val="0"/>
        <w:adjustRightInd w:val="0"/>
        <w:ind w:left="1440"/>
        <w:rPr>
          <w:rFonts w:ascii="Bookman Old Style" w:hAnsi="Bookman Old Style" w:cs="Arial"/>
          <w:b/>
          <w:bCs/>
          <w:color w:val="000000"/>
          <w:szCs w:val="24"/>
        </w:rPr>
      </w:pPr>
    </w:p>
    <w:p w:rsidR="006748C7" w:rsidRDefault="006748C7" w:rsidP="006748C7">
      <w:pPr>
        <w:tabs>
          <w:tab w:val="clear" w:pos="360"/>
          <w:tab w:val="left" w:pos="7070"/>
          <w:tab w:val="left" w:pos="9058"/>
        </w:tabs>
        <w:autoSpaceDE w:val="0"/>
        <w:autoSpaceDN w:val="0"/>
        <w:adjustRightInd w:val="0"/>
        <w:ind w:left="1440"/>
        <w:rPr>
          <w:rFonts w:ascii="Bookman Old Style" w:hAnsi="Bookman Old Style" w:cs="Arial"/>
          <w:b/>
          <w:bCs/>
          <w:color w:val="000000"/>
          <w:szCs w:val="24"/>
        </w:rPr>
      </w:pPr>
    </w:p>
    <w:p w:rsidR="006748C7" w:rsidRDefault="006748C7" w:rsidP="006748C7">
      <w:pPr>
        <w:tabs>
          <w:tab w:val="clear" w:pos="360"/>
          <w:tab w:val="left" w:pos="7070"/>
          <w:tab w:val="left" w:pos="9058"/>
        </w:tabs>
        <w:autoSpaceDE w:val="0"/>
        <w:autoSpaceDN w:val="0"/>
        <w:adjustRightInd w:val="0"/>
        <w:ind w:left="1440"/>
        <w:rPr>
          <w:rFonts w:ascii="Bookman Old Style" w:hAnsi="Bookman Old Style" w:cs="Arial"/>
          <w:b/>
          <w:bCs/>
          <w:color w:val="000000"/>
          <w:szCs w:val="24"/>
        </w:rPr>
      </w:pPr>
    </w:p>
    <w:p w:rsidR="006748C7" w:rsidRPr="00DA13A6" w:rsidRDefault="006748C7" w:rsidP="00DA13A6">
      <w:pPr>
        <w:tabs>
          <w:tab w:val="clear" w:pos="360"/>
          <w:tab w:val="left" w:pos="7070"/>
          <w:tab w:val="left" w:pos="9058"/>
        </w:tabs>
        <w:autoSpaceDE w:val="0"/>
        <w:autoSpaceDN w:val="0"/>
        <w:adjustRightInd w:val="0"/>
        <w:rPr>
          <w:rFonts w:ascii="Calibri" w:hAnsi="Calibri"/>
          <w:b/>
          <w:i/>
        </w:rPr>
      </w:pPr>
      <w:r w:rsidRPr="00DA13A6">
        <w:rPr>
          <w:rFonts w:ascii="Calibri" w:hAnsi="Calibri"/>
          <w:b/>
          <w:i/>
        </w:rPr>
        <w:t>* Table reflects amounts in Item 276, Paragraph E.4.</w:t>
      </w:r>
    </w:p>
    <w:p w:rsidR="008E6768" w:rsidRPr="0093655C" w:rsidRDefault="008E6768" w:rsidP="00EB48D3">
      <w:pPr>
        <w:spacing w:after="0"/>
        <w:ind w:left="0" w:right="720"/>
        <w:rPr>
          <w:rFonts w:ascii="Calibri" w:hAnsi="Calibri"/>
          <w:szCs w:val="24"/>
        </w:rPr>
      </w:pPr>
    </w:p>
    <w:p w:rsidR="005C3182" w:rsidRPr="002269A5" w:rsidRDefault="005C3182" w:rsidP="005C3182">
      <w:pPr>
        <w:spacing w:after="0"/>
        <w:ind w:left="0" w:right="720"/>
        <w:jc w:val="center"/>
        <w:rPr>
          <w:rFonts w:ascii="Bookman Old Style" w:hAnsi="Bookman Old Style" w:cs="Arial"/>
          <w:b/>
          <w:bCs/>
          <w:color w:val="000000"/>
          <w:sz w:val="14"/>
          <w:szCs w:val="14"/>
        </w:rPr>
      </w:pPr>
      <w:r w:rsidRPr="0038049A">
        <w:rPr>
          <w:rFonts w:ascii="Bookman Old Style" w:hAnsi="Bookman Old Style"/>
          <w:sz w:val="14"/>
          <w:szCs w:val="14"/>
        </w:rPr>
        <w:t xml:space="preserve"> </w:t>
      </w:r>
    </w:p>
    <w:sectPr w:rsidR="005C3182" w:rsidRPr="002269A5" w:rsidSect="00B512C9">
      <w:pgSz w:w="12240" w:h="15840" w:code="1"/>
      <w:pgMar w:top="1008" w:right="1440" w:bottom="864" w:left="1440" w:header="288" w:footer="38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A46" w:rsidRDefault="00BD5A46">
      <w:r>
        <w:separator/>
      </w:r>
    </w:p>
  </w:endnote>
  <w:endnote w:type="continuationSeparator" w:id="0">
    <w:p w:rsidR="00BD5A46" w:rsidRDefault="00BD5A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46" w:rsidRDefault="000D198D" w:rsidP="004755B9">
    <w:pPr>
      <w:pStyle w:val="Footer"/>
      <w:framePr w:wrap="around" w:vAnchor="text" w:hAnchor="margin" w:xAlign="right" w:y="1"/>
      <w:rPr>
        <w:rStyle w:val="PageNumber"/>
      </w:rPr>
    </w:pPr>
    <w:r>
      <w:rPr>
        <w:rStyle w:val="PageNumber"/>
      </w:rPr>
      <w:fldChar w:fldCharType="begin"/>
    </w:r>
    <w:r w:rsidR="00BD5A46">
      <w:rPr>
        <w:rStyle w:val="PageNumber"/>
      </w:rPr>
      <w:instrText xml:space="preserve">PAGE  </w:instrText>
    </w:r>
    <w:r>
      <w:rPr>
        <w:rStyle w:val="PageNumber"/>
      </w:rPr>
      <w:fldChar w:fldCharType="end"/>
    </w:r>
  </w:p>
  <w:p w:rsidR="00BD5A46" w:rsidRDefault="00BD5A46" w:rsidP="00A96A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46" w:rsidRPr="000A4C37" w:rsidRDefault="000D198D" w:rsidP="00E3331C">
    <w:pPr>
      <w:pStyle w:val="Footer"/>
      <w:framePr w:w="671" w:h="201" w:hRule="exact" w:wrap="around" w:vAnchor="text" w:hAnchor="page" w:x="10152" w:y="110"/>
      <w:rPr>
        <w:rStyle w:val="PageNumber"/>
        <w:rFonts w:ascii="Arial" w:hAnsi="Arial" w:cs="Arial"/>
        <w:b/>
      </w:rPr>
    </w:pPr>
    <w:r w:rsidRPr="000A4C37">
      <w:rPr>
        <w:rStyle w:val="PageNumber"/>
        <w:rFonts w:ascii="Arial" w:hAnsi="Arial" w:cs="Arial"/>
        <w:b/>
      </w:rPr>
      <w:fldChar w:fldCharType="begin"/>
    </w:r>
    <w:r w:rsidR="00BD5A46" w:rsidRPr="000A4C37">
      <w:rPr>
        <w:rStyle w:val="PageNumber"/>
        <w:rFonts w:ascii="Arial" w:hAnsi="Arial" w:cs="Arial"/>
        <w:b/>
      </w:rPr>
      <w:instrText xml:space="preserve">PAGE  </w:instrText>
    </w:r>
    <w:r w:rsidRPr="000A4C37">
      <w:rPr>
        <w:rStyle w:val="PageNumber"/>
        <w:rFonts w:ascii="Arial" w:hAnsi="Arial" w:cs="Arial"/>
        <w:b/>
      </w:rPr>
      <w:fldChar w:fldCharType="separate"/>
    </w:r>
    <w:r w:rsidR="00723C69">
      <w:rPr>
        <w:rStyle w:val="PageNumber"/>
        <w:rFonts w:ascii="Arial" w:hAnsi="Arial" w:cs="Arial"/>
        <w:b/>
        <w:noProof/>
      </w:rPr>
      <w:t>13</w:t>
    </w:r>
    <w:r w:rsidRPr="000A4C37">
      <w:rPr>
        <w:rStyle w:val="PageNumber"/>
        <w:rFonts w:ascii="Arial" w:hAnsi="Arial" w:cs="Arial"/>
        <w:b/>
      </w:rPr>
      <w:fldChar w:fldCharType="end"/>
    </w:r>
  </w:p>
  <w:p w:rsidR="00BD5A46" w:rsidRPr="00F42283" w:rsidRDefault="00BD5A46" w:rsidP="00E3331C">
    <w:pPr>
      <w:pStyle w:val="Footer"/>
      <w:pBdr>
        <w:top w:val="single" w:sz="18" w:space="1" w:color="4F81BD" w:themeColor="accent1"/>
      </w:pBdr>
      <w:tabs>
        <w:tab w:val="clear" w:pos="9360"/>
        <w:tab w:val="center" w:pos="4680"/>
        <w:tab w:val="right" w:pos="9180"/>
      </w:tabs>
      <w:spacing w:after="0"/>
      <w:ind w:left="0"/>
      <w:rPr>
        <w:rFonts w:asciiTheme="minorHAnsi" w:eastAsiaTheme="minorHAnsi" w:hAnsiTheme="minorHAnsi" w:cstheme="minorBidi"/>
        <w:sz w:val="22"/>
        <w:szCs w:val="22"/>
      </w:rPr>
    </w:pPr>
    <w:r w:rsidRPr="00F42283">
      <w:rPr>
        <w:rFonts w:asciiTheme="minorHAnsi" w:eastAsiaTheme="minorHAnsi" w:hAnsiTheme="minorHAnsi" w:cstheme="minorBidi"/>
        <w:sz w:val="22"/>
        <w:szCs w:val="22"/>
      </w:rPr>
      <w:t>FY 2015 New Year Start-up</w:t>
    </w:r>
    <w:r w:rsidRPr="00F42283">
      <w:rPr>
        <w:rFonts w:asciiTheme="minorHAnsi" w:eastAsiaTheme="minorHAnsi" w:hAnsiTheme="minorHAnsi" w:cstheme="minorBidi"/>
        <w:sz w:val="22"/>
        <w:szCs w:val="2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46" w:rsidRPr="00F42283" w:rsidRDefault="00BD5A46" w:rsidP="00F42283">
    <w:pPr>
      <w:pStyle w:val="Footer"/>
      <w:pBdr>
        <w:top w:val="single" w:sz="18" w:space="1" w:color="4F81BD" w:themeColor="accent1"/>
      </w:pBdr>
      <w:tabs>
        <w:tab w:val="center" w:pos="4680"/>
      </w:tabs>
      <w:spacing w:after="0"/>
      <w:ind w:left="0"/>
      <w:rPr>
        <w:rFonts w:asciiTheme="minorHAnsi" w:eastAsiaTheme="minorHAnsi" w:hAnsiTheme="minorHAnsi" w:cstheme="minorBidi"/>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46" w:rsidRPr="00F42283" w:rsidRDefault="00BD5A46" w:rsidP="00F42283">
    <w:pPr>
      <w:pStyle w:val="Footer"/>
      <w:pBdr>
        <w:top w:val="single" w:sz="18" w:space="1" w:color="4F81BD" w:themeColor="accent1"/>
      </w:pBdr>
      <w:tabs>
        <w:tab w:val="center" w:pos="4680"/>
      </w:tabs>
      <w:spacing w:after="0"/>
      <w:ind w:left="0"/>
      <w:rPr>
        <w:rFonts w:asciiTheme="minorHAnsi" w:eastAsiaTheme="minorHAnsi" w:hAnsiTheme="minorHAnsi" w:cstheme="minorBidi"/>
        <w:sz w:val="22"/>
        <w:szCs w:val="22"/>
      </w:rPr>
    </w:pPr>
    <w:r w:rsidRPr="00F42283">
      <w:rPr>
        <w:rFonts w:asciiTheme="minorHAnsi" w:eastAsiaTheme="minorHAnsi" w:hAnsiTheme="minorHAnsi" w:cstheme="minorBidi"/>
        <w:sz w:val="22"/>
        <w:szCs w:val="22"/>
      </w:rPr>
      <w:t>FY 2015 New Year Start-up</w:t>
    </w:r>
    <w:r w:rsidRPr="00F42283">
      <w:rPr>
        <w:rFonts w:asciiTheme="minorHAnsi" w:eastAsiaTheme="minorHAnsi" w:hAnsiTheme="minorHAnsi" w:cstheme="minorBidi"/>
        <w:sz w:val="22"/>
        <w:szCs w:val="22"/>
      </w:rPr>
      <w:tab/>
    </w:r>
    <w:r w:rsidRPr="00F42283">
      <w:rPr>
        <w:rFonts w:asciiTheme="minorHAnsi" w:eastAsiaTheme="minorHAnsi" w:hAnsiTheme="minorHAnsi" w:cstheme="minorBidi"/>
        <w:sz w:val="22"/>
        <w:szCs w:val="22"/>
      </w:rPr>
      <w:tab/>
    </w:r>
    <w:r w:rsidRPr="00F42283">
      <w:rPr>
        <w:rFonts w:asciiTheme="minorHAnsi" w:eastAsiaTheme="minorHAnsi" w:hAnsiTheme="minorHAnsi" w:cstheme="minorBidi"/>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A46" w:rsidRDefault="00BD5A46">
      <w:r>
        <w:separator/>
      </w:r>
    </w:p>
  </w:footnote>
  <w:footnote w:type="continuationSeparator" w:id="0">
    <w:p w:rsidR="00BD5A46" w:rsidRDefault="00BD5A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46" w:rsidRPr="00472271" w:rsidRDefault="00BD5A46">
    <w:pPr>
      <w:pStyle w:val="Header"/>
      <w:rPr>
        <w:b/>
        <w:i/>
        <w:sz w:val="32"/>
        <w:szCs w:val="32"/>
      </w:rP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46" w:rsidRPr="00472271" w:rsidRDefault="00BD5A46">
    <w:pPr>
      <w:pStyle w:val="Header"/>
      <w:rPr>
        <w:b/>
        <w:i/>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58812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C292941"/>
    <w:multiLevelType w:val="hybridMultilevel"/>
    <w:tmpl w:val="C426A2D0"/>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0613FE"/>
    <w:multiLevelType w:val="hybridMultilevel"/>
    <w:tmpl w:val="3F24C99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9020F7"/>
    <w:multiLevelType w:val="hybridMultilevel"/>
    <w:tmpl w:val="782ED996"/>
    <w:lvl w:ilvl="0" w:tplc="FFCAB52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882CF1"/>
    <w:multiLevelType w:val="hybridMultilevel"/>
    <w:tmpl w:val="933E1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16569E"/>
    <w:multiLevelType w:val="hybridMultilevel"/>
    <w:tmpl w:val="691AA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4900D3"/>
    <w:multiLevelType w:val="hybridMultilevel"/>
    <w:tmpl w:val="D94275F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9726806"/>
    <w:multiLevelType w:val="hybridMultilevel"/>
    <w:tmpl w:val="5D366EB8"/>
    <w:lvl w:ilvl="0" w:tplc="342AC0D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5670607"/>
    <w:multiLevelType w:val="hybridMultilevel"/>
    <w:tmpl w:val="F6129DC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DCD3A54"/>
    <w:multiLevelType w:val="hybridMultilevel"/>
    <w:tmpl w:val="D3585D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5E3942"/>
    <w:multiLevelType w:val="hybridMultilevel"/>
    <w:tmpl w:val="039CF462"/>
    <w:lvl w:ilvl="0" w:tplc="DC9867C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B9D07AA"/>
    <w:multiLevelType w:val="hybridMultilevel"/>
    <w:tmpl w:val="561AAFEE"/>
    <w:lvl w:ilvl="0" w:tplc="BD0A9A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AC508F"/>
    <w:multiLevelType w:val="hybridMultilevel"/>
    <w:tmpl w:val="747C1916"/>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0"/>
  </w:num>
  <w:num w:numId="3">
    <w:abstractNumId w:val="12"/>
  </w:num>
  <w:num w:numId="4">
    <w:abstractNumId w:val="13"/>
  </w:num>
  <w:num w:numId="5">
    <w:abstractNumId w:val="5"/>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0"/>
  </w:num>
  <w:num w:numId="14">
    <w:abstractNumId w:val="3"/>
  </w:num>
  <w:num w:numId="15">
    <w:abstractNumId w:val="2"/>
  </w:num>
  <w:num w:numId="16">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A3E47"/>
    <w:rsid w:val="00001E7E"/>
    <w:rsid w:val="00003641"/>
    <w:rsid w:val="000168C3"/>
    <w:rsid w:val="0001724B"/>
    <w:rsid w:val="000175C4"/>
    <w:rsid w:val="0002201B"/>
    <w:rsid w:val="0002377D"/>
    <w:rsid w:val="0002392C"/>
    <w:rsid w:val="00024CB6"/>
    <w:rsid w:val="0002638B"/>
    <w:rsid w:val="000309FA"/>
    <w:rsid w:val="00030A9B"/>
    <w:rsid w:val="00030F2A"/>
    <w:rsid w:val="00033935"/>
    <w:rsid w:val="00035447"/>
    <w:rsid w:val="00036E79"/>
    <w:rsid w:val="000405C8"/>
    <w:rsid w:val="00041A15"/>
    <w:rsid w:val="0004305D"/>
    <w:rsid w:val="000443A9"/>
    <w:rsid w:val="00044535"/>
    <w:rsid w:val="0005051C"/>
    <w:rsid w:val="00051B0C"/>
    <w:rsid w:val="00051FD6"/>
    <w:rsid w:val="00053A10"/>
    <w:rsid w:val="00053E63"/>
    <w:rsid w:val="00053EBC"/>
    <w:rsid w:val="000542EC"/>
    <w:rsid w:val="0006255E"/>
    <w:rsid w:val="00062851"/>
    <w:rsid w:val="00062F2B"/>
    <w:rsid w:val="000660FF"/>
    <w:rsid w:val="00067897"/>
    <w:rsid w:val="000703CB"/>
    <w:rsid w:val="000706D5"/>
    <w:rsid w:val="00072E23"/>
    <w:rsid w:val="00072EDB"/>
    <w:rsid w:val="00075991"/>
    <w:rsid w:val="00075F21"/>
    <w:rsid w:val="00080446"/>
    <w:rsid w:val="000805DF"/>
    <w:rsid w:val="00081A01"/>
    <w:rsid w:val="00082B0C"/>
    <w:rsid w:val="00085A9E"/>
    <w:rsid w:val="00093E97"/>
    <w:rsid w:val="00096439"/>
    <w:rsid w:val="00096694"/>
    <w:rsid w:val="00096995"/>
    <w:rsid w:val="00096E09"/>
    <w:rsid w:val="000A0083"/>
    <w:rsid w:val="000A0B1A"/>
    <w:rsid w:val="000A1261"/>
    <w:rsid w:val="000A2DD6"/>
    <w:rsid w:val="000A356E"/>
    <w:rsid w:val="000A4680"/>
    <w:rsid w:val="000A4C37"/>
    <w:rsid w:val="000A5129"/>
    <w:rsid w:val="000A6A45"/>
    <w:rsid w:val="000B402E"/>
    <w:rsid w:val="000B5ACE"/>
    <w:rsid w:val="000B65CB"/>
    <w:rsid w:val="000C09C0"/>
    <w:rsid w:val="000C0DC8"/>
    <w:rsid w:val="000C313D"/>
    <w:rsid w:val="000C6EDE"/>
    <w:rsid w:val="000D198D"/>
    <w:rsid w:val="000D2368"/>
    <w:rsid w:val="000D33E9"/>
    <w:rsid w:val="000D3B60"/>
    <w:rsid w:val="000D5008"/>
    <w:rsid w:val="000D534E"/>
    <w:rsid w:val="000E7F4D"/>
    <w:rsid w:val="000F58E1"/>
    <w:rsid w:val="000F60DF"/>
    <w:rsid w:val="000F61A9"/>
    <w:rsid w:val="00103D2A"/>
    <w:rsid w:val="00105AEF"/>
    <w:rsid w:val="001129A6"/>
    <w:rsid w:val="001140A4"/>
    <w:rsid w:val="001153EB"/>
    <w:rsid w:val="00115519"/>
    <w:rsid w:val="00121E8B"/>
    <w:rsid w:val="00122D4E"/>
    <w:rsid w:val="00124276"/>
    <w:rsid w:val="00126A08"/>
    <w:rsid w:val="0013093A"/>
    <w:rsid w:val="001337B9"/>
    <w:rsid w:val="0013434B"/>
    <w:rsid w:val="00134E2D"/>
    <w:rsid w:val="001372F7"/>
    <w:rsid w:val="0013794D"/>
    <w:rsid w:val="001403B5"/>
    <w:rsid w:val="00141972"/>
    <w:rsid w:val="00141E4D"/>
    <w:rsid w:val="00145BD2"/>
    <w:rsid w:val="00146142"/>
    <w:rsid w:val="0015692D"/>
    <w:rsid w:val="001579CD"/>
    <w:rsid w:val="00161AC5"/>
    <w:rsid w:val="00163893"/>
    <w:rsid w:val="00166E97"/>
    <w:rsid w:val="001703CF"/>
    <w:rsid w:val="00171B9F"/>
    <w:rsid w:val="00172F49"/>
    <w:rsid w:val="00173DC5"/>
    <w:rsid w:val="00174300"/>
    <w:rsid w:val="001749E3"/>
    <w:rsid w:val="00174E62"/>
    <w:rsid w:val="00175DCB"/>
    <w:rsid w:val="00176E38"/>
    <w:rsid w:val="001806A6"/>
    <w:rsid w:val="001820E9"/>
    <w:rsid w:val="0018260E"/>
    <w:rsid w:val="00183B3C"/>
    <w:rsid w:val="00185C6C"/>
    <w:rsid w:val="00185CAF"/>
    <w:rsid w:val="001903C7"/>
    <w:rsid w:val="0019434A"/>
    <w:rsid w:val="001948D5"/>
    <w:rsid w:val="001A3ADF"/>
    <w:rsid w:val="001A474E"/>
    <w:rsid w:val="001A4E91"/>
    <w:rsid w:val="001A4F3B"/>
    <w:rsid w:val="001A735D"/>
    <w:rsid w:val="001B01A8"/>
    <w:rsid w:val="001B123D"/>
    <w:rsid w:val="001B3120"/>
    <w:rsid w:val="001B3388"/>
    <w:rsid w:val="001B4742"/>
    <w:rsid w:val="001B4CCA"/>
    <w:rsid w:val="001B4D10"/>
    <w:rsid w:val="001B63A4"/>
    <w:rsid w:val="001C0680"/>
    <w:rsid w:val="001C3AA3"/>
    <w:rsid w:val="001C470A"/>
    <w:rsid w:val="001C48B0"/>
    <w:rsid w:val="001C5802"/>
    <w:rsid w:val="001C5A2F"/>
    <w:rsid w:val="001C7EC6"/>
    <w:rsid w:val="001D57A1"/>
    <w:rsid w:val="001D7D10"/>
    <w:rsid w:val="001E16A3"/>
    <w:rsid w:val="001E1D4D"/>
    <w:rsid w:val="001E46D4"/>
    <w:rsid w:val="001F3758"/>
    <w:rsid w:val="001F41E2"/>
    <w:rsid w:val="001F4349"/>
    <w:rsid w:val="001F7866"/>
    <w:rsid w:val="002021C6"/>
    <w:rsid w:val="0020234E"/>
    <w:rsid w:val="00206984"/>
    <w:rsid w:val="00207104"/>
    <w:rsid w:val="0020757F"/>
    <w:rsid w:val="002076BC"/>
    <w:rsid w:val="00213862"/>
    <w:rsid w:val="00214104"/>
    <w:rsid w:val="0022029C"/>
    <w:rsid w:val="002221FF"/>
    <w:rsid w:val="002255F7"/>
    <w:rsid w:val="00226D4A"/>
    <w:rsid w:val="00230588"/>
    <w:rsid w:val="002306D4"/>
    <w:rsid w:val="00231932"/>
    <w:rsid w:val="00232D91"/>
    <w:rsid w:val="00235CD8"/>
    <w:rsid w:val="002363C6"/>
    <w:rsid w:val="00237D6B"/>
    <w:rsid w:val="00241B37"/>
    <w:rsid w:val="002437BF"/>
    <w:rsid w:val="0024393E"/>
    <w:rsid w:val="00245DC2"/>
    <w:rsid w:val="002461F2"/>
    <w:rsid w:val="002474FA"/>
    <w:rsid w:val="00252A14"/>
    <w:rsid w:val="0025455D"/>
    <w:rsid w:val="00255ED9"/>
    <w:rsid w:val="002574E6"/>
    <w:rsid w:val="00257D1D"/>
    <w:rsid w:val="00260EF5"/>
    <w:rsid w:val="002631FC"/>
    <w:rsid w:val="00264656"/>
    <w:rsid w:val="00264EF3"/>
    <w:rsid w:val="00266BBB"/>
    <w:rsid w:val="00270BAD"/>
    <w:rsid w:val="00272F3A"/>
    <w:rsid w:val="00281B0E"/>
    <w:rsid w:val="00281CD7"/>
    <w:rsid w:val="00281D41"/>
    <w:rsid w:val="00285D0B"/>
    <w:rsid w:val="00286A40"/>
    <w:rsid w:val="00292397"/>
    <w:rsid w:val="00293BA6"/>
    <w:rsid w:val="00293E5B"/>
    <w:rsid w:val="00295911"/>
    <w:rsid w:val="002A0309"/>
    <w:rsid w:val="002A2193"/>
    <w:rsid w:val="002A33F3"/>
    <w:rsid w:val="002A6AEC"/>
    <w:rsid w:val="002A7C11"/>
    <w:rsid w:val="002B3B21"/>
    <w:rsid w:val="002B5785"/>
    <w:rsid w:val="002B57E4"/>
    <w:rsid w:val="002B5F1F"/>
    <w:rsid w:val="002C11A4"/>
    <w:rsid w:val="002C263F"/>
    <w:rsid w:val="002C2AD2"/>
    <w:rsid w:val="002C6F17"/>
    <w:rsid w:val="002C7975"/>
    <w:rsid w:val="002D7FB5"/>
    <w:rsid w:val="002E04B2"/>
    <w:rsid w:val="002E30D3"/>
    <w:rsid w:val="002E3D4E"/>
    <w:rsid w:val="002E476E"/>
    <w:rsid w:val="002E70C2"/>
    <w:rsid w:val="002E7F0E"/>
    <w:rsid w:val="002E7FD0"/>
    <w:rsid w:val="002F1104"/>
    <w:rsid w:val="002F19B4"/>
    <w:rsid w:val="002F20BA"/>
    <w:rsid w:val="002F4D5E"/>
    <w:rsid w:val="002F6102"/>
    <w:rsid w:val="002F70FE"/>
    <w:rsid w:val="00302E10"/>
    <w:rsid w:val="0030397C"/>
    <w:rsid w:val="00303C62"/>
    <w:rsid w:val="003043AA"/>
    <w:rsid w:val="0030697C"/>
    <w:rsid w:val="003146B5"/>
    <w:rsid w:val="003164EB"/>
    <w:rsid w:val="00316950"/>
    <w:rsid w:val="00320D6D"/>
    <w:rsid w:val="00322D94"/>
    <w:rsid w:val="00325538"/>
    <w:rsid w:val="0032606A"/>
    <w:rsid w:val="00332B42"/>
    <w:rsid w:val="00337D34"/>
    <w:rsid w:val="00341238"/>
    <w:rsid w:val="00343537"/>
    <w:rsid w:val="003473FD"/>
    <w:rsid w:val="003479F0"/>
    <w:rsid w:val="00347C60"/>
    <w:rsid w:val="00347DDD"/>
    <w:rsid w:val="00355F90"/>
    <w:rsid w:val="003605FA"/>
    <w:rsid w:val="00362176"/>
    <w:rsid w:val="00362C50"/>
    <w:rsid w:val="003639C3"/>
    <w:rsid w:val="003656DA"/>
    <w:rsid w:val="00365939"/>
    <w:rsid w:val="00366807"/>
    <w:rsid w:val="00373062"/>
    <w:rsid w:val="003746F2"/>
    <w:rsid w:val="00382C9F"/>
    <w:rsid w:val="003836A1"/>
    <w:rsid w:val="00384458"/>
    <w:rsid w:val="00392F89"/>
    <w:rsid w:val="003947D4"/>
    <w:rsid w:val="003967E9"/>
    <w:rsid w:val="00396D70"/>
    <w:rsid w:val="0039741B"/>
    <w:rsid w:val="00397765"/>
    <w:rsid w:val="003A134C"/>
    <w:rsid w:val="003A1615"/>
    <w:rsid w:val="003A45FD"/>
    <w:rsid w:val="003B1D57"/>
    <w:rsid w:val="003C2F48"/>
    <w:rsid w:val="003C3CC9"/>
    <w:rsid w:val="003C4911"/>
    <w:rsid w:val="003C5B98"/>
    <w:rsid w:val="003C7B0C"/>
    <w:rsid w:val="003D0C62"/>
    <w:rsid w:val="003D26EC"/>
    <w:rsid w:val="003D6368"/>
    <w:rsid w:val="003D7836"/>
    <w:rsid w:val="003E1D72"/>
    <w:rsid w:val="003E265C"/>
    <w:rsid w:val="003E61E7"/>
    <w:rsid w:val="003E71A3"/>
    <w:rsid w:val="003F11C0"/>
    <w:rsid w:val="003F11E3"/>
    <w:rsid w:val="003F2723"/>
    <w:rsid w:val="0040012E"/>
    <w:rsid w:val="00402280"/>
    <w:rsid w:val="00403260"/>
    <w:rsid w:val="00403DEF"/>
    <w:rsid w:val="00404678"/>
    <w:rsid w:val="00404A2F"/>
    <w:rsid w:val="004118D1"/>
    <w:rsid w:val="00411F76"/>
    <w:rsid w:val="00412232"/>
    <w:rsid w:val="004126DF"/>
    <w:rsid w:val="0041517D"/>
    <w:rsid w:val="004151B0"/>
    <w:rsid w:val="0041654B"/>
    <w:rsid w:val="00420BCF"/>
    <w:rsid w:val="0042159B"/>
    <w:rsid w:val="00421CB9"/>
    <w:rsid w:val="00422962"/>
    <w:rsid w:val="00423CE6"/>
    <w:rsid w:val="00426CDB"/>
    <w:rsid w:val="00434543"/>
    <w:rsid w:val="00434609"/>
    <w:rsid w:val="00434661"/>
    <w:rsid w:val="00435AD2"/>
    <w:rsid w:val="00442039"/>
    <w:rsid w:val="00442746"/>
    <w:rsid w:val="00442894"/>
    <w:rsid w:val="00442C84"/>
    <w:rsid w:val="004457FE"/>
    <w:rsid w:val="004466DA"/>
    <w:rsid w:val="00447BE7"/>
    <w:rsid w:val="00447ED9"/>
    <w:rsid w:val="004505EE"/>
    <w:rsid w:val="00452BD9"/>
    <w:rsid w:val="00453D66"/>
    <w:rsid w:val="00455039"/>
    <w:rsid w:val="00460764"/>
    <w:rsid w:val="00462CA2"/>
    <w:rsid w:val="0046339A"/>
    <w:rsid w:val="004644D4"/>
    <w:rsid w:val="004657E9"/>
    <w:rsid w:val="004670F6"/>
    <w:rsid w:val="004674C9"/>
    <w:rsid w:val="004705D9"/>
    <w:rsid w:val="004719CB"/>
    <w:rsid w:val="00472271"/>
    <w:rsid w:val="00473008"/>
    <w:rsid w:val="004755B9"/>
    <w:rsid w:val="00482C95"/>
    <w:rsid w:val="00484B33"/>
    <w:rsid w:val="00493037"/>
    <w:rsid w:val="00495E6D"/>
    <w:rsid w:val="004A0738"/>
    <w:rsid w:val="004A0AA9"/>
    <w:rsid w:val="004A6FFC"/>
    <w:rsid w:val="004B19DE"/>
    <w:rsid w:val="004B1A89"/>
    <w:rsid w:val="004B4B33"/>
    <w:rsid w:val="004B7A3F"/>
    <w:rsid w:val="004D00F6"/>
    <w:rsid w:val="004D33E1"/>
    <w:rsid w:val="004D4A32"/>
    <w:rsid w:val="004E2F26"/>
    <w:rsid w:val="004E5968"/>
    <w:rsid w:val="004E6F0D"/>
    <w:rsid w:val="004E7E33"/>
    <w:rsid w:val="004F01F3"/>
    <w:rsid w:val="004F12BD"/>
    <w:rsid w:val="004F2679"/>
    <w:rsid w:val="004F2F7B"/>
    <w:rsid w:val="004F4F3F"/>
    <w:rsid w:val="004F622A"/>
    <w:rsid w:val="004F7A7C"/>
    <w:rsid w:val="005066FA"/>
    <w:rsid w:val="00510220"/>
    <w:rsid w:val="00510437"/>
    <w:rsid w:val="0051234C"/>
    <w:rsid w:val="005130AE"/>
    <w:rsid w:val="0051757B"/>
    <w:rsid w:val="00520FD9"/>
    <w:rsid w:val="005229E9"/>
    <w:rsid w:val="00525890"/>
    <w:rsid w:val="0052669D"/>
    <w:rsid w:val="00526D92"/>
    <w:rsid w:val="00530CF8"/>
    <w:rsid w:val="005376DD"/>
    <w:rsid w:val="005410AB"/>
    <w:rsid w:val="005410ED"/>
    <w:rsid w:val="00542A9F"/>
    <w:rsid w:val="0054456B"/>
    <w:rsid w:val="005512E6"/>
    <w:rsid w:val="00551DAD"/>
    <w:rsid w:val="00553B59"/>
    <w:rsid w:val="00553BB2"/>
    <w:rsid w:val="00554F19"/>
    <w:rsid w:val="005555ED"/>
    <w:rsid w:val="0055646A"/>
    <w:rsid w:val="00561168"/>
    <w:rsid w:val="00561CEB"/>
    <w:rsid w:val="00563285"/>
    <w:rsid w:val="0056328F"/>
    <w:rsid w:val="00563A6B"/>
    <w:rsid w:val="005640A2"/>
    <w:rsid w:val="00564AE6"/>
    <w:rsid w:val="0056763B"/>
    <w:rsid w:val="00570627"/>
    <w:rsid w:val="00570CC9"/>
    <w:rsid w:val="005714A7"/>
    <w:rsid w:val="00574F10"/>
    <w:rsid w:val="005813B7"/>
    <w:rsid w:val="005825D9"/>
    <w:rsid w:val="00583595"/>
    <w:rsid w:val="00584737"/>
    <w:rsid w:val="00585ED0"/>
    <w:rsid w:val="0058601E"/>
    <w:rsid w:val="00594DED"/>
    <w:rsid w:val="00595E16"/>
    <w:rsid w:val="00596917"/>
    <w:rsid w:val="005A05C0"/>
    <w:rsid w:val="005A2D9F"/>
    <w:rsid w:val="005A3E47"/>
    <w:rsid w:val="005A5DE1"/>
    <w:rsid w:val="005A7321"/>
    <w:rsid w:val="005B0517"/>
    <w:rsid w:val="005B388B"/>
    <w:rsid w:val="005B60F4"/>
    <w:rsid w:val="005B6A56"/>
    <w:rsid w:val="005B75A6"/>
    <w:rsid w:val="005C12FC"/>
    <w:rsid w:val="005C1BF6"/>
    <w:rsid w:val="005C1E1D"/>
    <w:rsid w:val="005C3182"/>
    <w:rsid w:val="005C6945"/>
    <w:rsid w:val="005C6CEF"/>
    <w:rsid w:val="005D0437"/>
    <w:rsid w:val="005D1C02"/>
    <w:rsid w:val="005D2007"/>
    <w:rsid w:val="005D2355"/>
    <w:rsid w:val="005D24DD"/>
    <w:rsid w:val="005D33E7"/>
    <w:rsid w:val="005D3EA7"/>
    <w:rsid w:val="005D5F76"/>
    <w:rsid w:val="005E03CB"/>
    <w:rsid w:val="005E3B06"/>
    <w:rsid w:val="005E4F88"/>
    <w:rsid w:val="005E6616"/>
    <w:rsid w:val="005E6AF7"/>
    <w:rsid w:val="005E7174"/>
    <w:rsid w:val="005F4A17"/>
    <w:rsid w:val="005F7AF0"/>
    <w:rsid w:val="00601071"/>
    <w:rsid w:val="006053A1"/>
    <w:rsid w:val="006075B8"/>
    <w:rsid w:val="00607F87"/>
    <w:rsid w:val="0061172E"/>
    <w:rsid w:val="0061237E"/>
    <w:rsid w:val="00612ED6"/>
    <w:rsid w:val="00617EC3"/>
    <w:rsid w:val="00621793"/>
    <w:rsid w:val="00621B2A"/>
    <w:rsid w:val="0062570B"/>
    <w:rsid w:val="00627B11"/>
    <w:rsid w:val="006326FF"/>
    <w:rsid w:val="00635D83"/>
    <w:rsid w:val="00636212"/>
    <w:rsid w:val="00636D8F"/>
    <w:rsid w:val="00637925"/>
    <w:rsid w:val="00644195"/>
    <w:rsid w:val="0064506D"/>
    <w:rsid w:val="0064536D"/>
    <w:rsid w:val="00646533"/>
    <w:rsid w:val="00646A54"/>
    <w:rsid w:val="0065061D"/>
    <w:rsid w:val="00650F4E"/>
    <w:rsid w:val="006532F5"/>
    <w:rsid w:val="00653A9D"/>
    <w:rsid w:val="00655AB1"/>
    <w:rsid w:val="0065698C"/>
    <w:rsid w:val="00667F05"/>
    <w:rsid w:val="00670586"/>
    <w:rsid w:val="00670BF9"/>
    <w:rsid w:val="00670DEB"/>
    <w:rsid w:val="00673C9D"/>
    <w:rsid w:val="006748C7"/>
    <w:rsid w:val="00674FE9"/>
    <w:rsid w:val="00675B08"/>
    <w:rsid w:val="00675D30"/>
    <w:rsid w:val="006821B3"/>
    <w:rsid w:val="006825F3"/>
    <w:rsid w:val="00684A97"/>
    <w:rsid w:val="006863BC"/>
    <w:rsid w:val="00687682"/>
    <w:rsid w:val="00690CCA"/>
    <w:rsid w:val="00690FF1"/>
    <w:rsid w:val="00693EF3"/>
    <w:rsid w:val="00694D76"/>
    <w:rsid w:val="00695CE6"/>
    <w:rsid w:val="00696D69"/>
    <w:rsid w:val="006A3661"/>
    <w:rsid w:val="006A416E"/>
    <w:rsid w:val="006A587F"/>
    <w:rsid w:val="006A5BF6"/>
    <w:rsid w:val="006B1BCF"/>
    <w:rsid w:val="006B4CB0"/>
    <w:rsid w:val="006C04F2"/>
    <w:rsid w:val="006C21BD"/>
    <w:rsid w:val="006C3694"/>
    <w:rsid w:val="006C5233"/>
    <w:rsid w:val="006C67EA"/>
    <w:rsid w:val="006C6843"/>
    <w:rsid w:val="006C72EB"/>
    <w:rsid w:val="006D0241"/>
    <w:rsid w:val="006D0C9F"/>
    <w:rsid w:val="006D0D0B"/>
    <w:rsid w:val="006D1EA5"/>
    <w:rsid w:val="006D5771"/>
    <w:rsid w:val="006D5DF3"/>
    <w:rsid w:val="006D7122"/>
    <w:rsid w:val="006D7546"/>
    <w:rsid w:val="006D7A36"/>
    <w:rsid w:val="006E06E6"/>
    <w:rsid w:val="006E2279"/>
    <w:rsid w:val="006E6CD3"/>
    <w:rsid w:val="006E75EE"/>
    <w:rsid w:val="006F1309"/>
    <w:rsid w:val="006F1FD0"/>
    <w:rsid w:val="006F2368"/>
    <w:rsid w:val="006F246C"/>
    <w:rsid w:val="006F5FC6"/>
    <w:rsid w:val="006F6305"/>
    <w:rsid w:val="007013D8"/>
    <w:rsid w:val="00702A57"/>
    <w:rsid w:val="00703D70"/>
    <w:rsid w:val="007044D7"/>
    <w:rsid w:val="0070543C"/>
    <w:rsid w:val="007061FA"/>
    <w:rsid w:val="00713565"/>
    <w:rsid w:val="00713809"/>
    <w:rsid w:val="00713C0D"/>
    <w:rsid w:val="00714DB6"/>
    <w:rsid w:val="00715EAE"/>
    <w:rsid w:val="00716533"/>
    <w:rsid w:val="0072017D"/>
    <w:rsid w:val="0072208D"/>
    <w:rsid w:val="00723766"/>
    <w:rsid w:val="00723ABD"/>
    <w:rsid w:val="00723C55"/>
    <w:rsid w:val="00723C69"/>
    <w:rsid w:val="00724019"/>
    <w:rsid w:val="00727A87"/>
    <w:rsid w:val="00733FC9"/>
    <w:rsid w:val="007345A1"/>
    <w:rsid w:val="00734F98"/>
    <w:rsid w:val="00734FFF"/>
    <w:rsid w:val="00735D30"/>
    <w:rsid w:val="00742D1A"/>
    <w:rsid w:val="00742F32"/>
    <w:rsid w:val="007433E6"/>
    <w:rsid w:val="00750437"/>
    <w:rsid w:val="007550B5"/>
    <w:rsid w:val="00755F94"/>
    <w:rsid w:val="0075776D"/>
    <w:rsid w:val="00760173"/>
    <w:rsid w:val="00760975"/>
    <w:rsid w:val="0076255F"/>
    <w:rsid w:val="007637DA"/>
    <w:rsid w:val="00763D2D"/>
    <w:rsid w:val="00766E7F"/>
    <w:rsid w:val="007726BE"/>
    <w:rsid w:val="00772A32"/>
    <w:rsid w:val="00774C51"/>
    <w:rsid w:val="0078079D"/>
    <w:rsid w:val="007807E7"/>
    <w:rsid w:val="00780F81"/>
    <w:rsid w:val="00790D48"/>
    <w:rsid w:val="00791B2E"/>
    <w:rsid w:val="00792C24"/>
    <w:rsid w:val="007952F2"/>
    <w:rsid w:val="00796592"/>
    <w:rsid w:val="00797736"/>
    <w:rsid w:val="007A249F"/>
    <w:rsid w:val="007A2B15"/>
    <w:rsid w:val="007A522F"/>
    <w:rsid w:val="007B465C"/>
    <w:rsid w:val="007B6723"/>
    <w:rsid w:val="007B7D40"/>
    <w:rsid w:val="007C19E6"/>
    <w:rsid w:val="007C4448"/>
    <w:rsid w:val="007C4D3D"/>
    <w:rsid w:val="007C6464"/>
    <w:rsid w:val="007D0141"/>
    <w:rsid w:val="007D08A1"/>
    <w:rsid w:val="007D1221"/>
    <w:rsid w:val="007D22A8"/>
    <w:rsid w:val="007D266A"/>
    <w:rsid w:val="007D79A8"/>
    <w:rsid w:val="007E0C5E"/>
    <w:rsid w:val="007E1FB0"/>
    <w:rsid w:val="007E54AA"/>
    <w:rsid w:val="007E6345"/>
    <w:rsid w:val="007E734C"/>
    <w:rsid w:val="007F0E95"/>
    <w:rsid w:val="007F186C"/>
    <w:rsid w:val="007F4E7B"/>
    <w:rsid w:val="0080047B"/>
    <w:rsid w:val="00801245"/>
    <w:rsid w:val="00802AB0"/>
    <w:rsid w:val="008056CC"/>
    <w:rsid w:val="00805DC1"/>
    <w:rsid w:val="00805E9C"/>
    <w:rsid w:val="008060C1"/>
    <w:rsid w:val="008103CE"/>
    <w:rsid w:val="0081342C"/>
    <w:rsid w:val="008146A4"/>
    <w:rsid w:val="0081498D"/>
    <w:rsid w:val="00816385"/>
    <w:rsid w:val="00816729"/>
    <w:rsid w:val="00816DC9"/>
    <w:rsid w:val="00817020"/>
    <w:rsid w:val="0081748C"/>
    <w:rsid w:val="008239D9"/>
    <w:rsid w:val="00830E72"/>
    <w:rsid w:val="00832A90"/>
    <w:rsid w:val="00832CF1"/>
    <w:rsid w:val="0083360C"/>
    <w:rsid w:val="00837664"/>
    <w:rsid w:val="008427C3"/>
    <w:rsid w:val="0084330B"/>
    <w:rsid w:val="00843527"/>
    <w:rsid w:val="00843D9E"/>
    <w:rsid w:val="008479E0"/>
    <w:rsid w:val="00850F24"/>
    <w:rsid w:val="008536D0"/>
    <w:rsid w:val="0086018D"/>
    <w:rsid w:val="008605A4"/>
    <w:rsid w:val="00861AE9"/>
    <w:rsid w:val="00864FF4"/>
    <w:rsid w:val="00867945"/>
    <w:rsid w:val="00870BD2"/>
    <w:rsid w:val="00875205"/>
    <w:rsid w:val="008769E7"/>
    <w:rsid w:val="008820E1"/>
    <w:rsid w:val="00882AF1"/>
    <w:rsid w:val="00885665"/>
    <w:rsid w:val="00886659"/>
    <w:rsid w:val="008900E0"/>
    <w:rsid w:val="00890231"/>
    <w:rsid w:val="0089096E"/>
    <w:rsid w:val="0089246D"/>
    <w:rsid w:val="00895BB0"/>
    <w:rsid w:val="008A6569"/>
    <w:rsid w:val="008B0035"/>
    <w:rsid w:val="008B07F5"/>
    <w:rsid w:val="008B0951"/>
    <w:rsid w:val="008B1879"/>
    <w:rsid w:val="008B210E"/>
    <w:rsid w:val="008C0744"/>
    <w:rsid w:val="008C0C0D"/>
    <w:rsid w:val="008C1825"/>
    <w:rsid w:val="008C3821"/>
    <w:rsid w:val="008C38DD"/>
    <w:rsid w:val="008C4385"/>
    <w:rsid w:val="008C5479"/>
    <w:rsid w:val="008C6D8B"/>
    <w:rsid w:val="008C716B"/>
    <w:rsid w:val="008D0C13"/>
    <w:rsid w:val="008D127F"/>
    <w:rsid w:val="008D64CC"/>
    <w:rsid w:val="008E0303"/>
    <w:rsid w:val="008E0748"/>
    <w:rsid w:val="008E2FC2"/>
    <w:rsid w:val="008E6768"/>
    <w:rsid w:val="008E68B3"/>
    <w:rsid w:val="008E70B6"/>
    <w:rsid w:val="008F3B74"/>
    <w:rsid w:val="008F50F5"/>
    <w:rsid w:val="008F691D"/>
    <w:rsid w:val="00901923"/>
    <w:rsid w:val="00902187"/>
    <w:rsid w:val="009029F0"/>
    <w:rsid w:val="009042A0"/>
    <w:rsid w:val="0091001C"/>
    <w:rsid w:val="00912CCA"/>
    <w:rsid w:val="00920523"/>
    <w:rsid w:val="00920AE2"/>
    <w:rsid w:val="00921171"/>
    <w:rsid w:val="009243B3"/>
    <w:rsid w:val="00924439"/>
    <w:rsid w:val="00926E1E"/>
    <w:rsid w:val="0092776D"/>
    <w:rsid w:val="00933A71"/>
    <w:rsid w:val="0093655C"/>
    <w:rsid w:val="00940AC3"/>
    <w:rsid w:val="009424BE"/>
    <w:rsid w:val="00943F65"/>
    <w:rsid w:val="00944624"/>
    <w:rsid w:val="009471B6"/>
    <w:rsid w:val="009520C3"/>
    <w:rsid w:val="009538A4"/>
    <w:rsid w:val="009617BE"/>
    <w:rsid w:val="0096222C"/>
    <w:rsid w:val="00970789"/>
    <w:rsid w:val="00970F0C"/>
    <w:rsid w:val="00972725"/>
    <w:rsid w:val="00972B02"/>
    <w:rsid w:val="00972EDE"/>
    <w:rsid w:val="00975E79"/>
    <w:rsid w:val="0097679A"/>
    <w:rsid w:val="00976D76"/>
    <w:rsid w:val="00985B72"/>
    <w:rsid w:val="00986D97"/>
    <w:rsid w:val="009913D4"/>
    <w:rsid w:val="00995954"/>
    <w:rsid w:val="009969EF"/>
    <w:rsid w:val="00996D0C"/>
    <w:rsid w:val="00996E15"/>
    <w:rsid w:val="009970DC"/>
    <w:rsid w:val="009A1CF7"/>
    <w:rsid w:val="009A2C89"/>
    <w:rsid w:val="009A5D2C"/>
    <w:rsid w:val="009A7987"/>
    <w:rsid w:val="009B117C"/>
    <w:rsid w:val="009B65C6"/>
    <w:rsid w:val="009C15A5"/>
    <w:rsid w:val="009C2719"/>
    <w:rsid w:val="009C2ACE"/>
    <w:rsid w:val="009C2D68"/>
    <w:rsid w:val="009C3A7D"/>
    <w:rsid w:val="009C3C67"/>
    <w:rsid w:val="009C6938"/>
    <w:rsid w:val="009C6CBD"/>
    <w:rsid w:val="009D00AE"/>
    <w:rsid w:val="009D0B65"/>
    <w:rsid w:val="009D1C2A"/>
    <w:rsid w:val="009D513E"/>
    <w:rsid w:val="009D5443"/>
    <w:rsid w:val="009D5CC0"/>
    <w:rsid w:val="009E455F"/>
    <w:rsid w:val="009E46D5"/>
    <w:rsid w:val="009E6FD1"/>
    <w:rsid w:val="009F017F"/>
    <w:rsid w:val="009F043A"/>
    <w:rsid w:val="009F1A98"/>
    <w:rsid w:val="00A034E0"/>
    <w:rsid w:val="00A04BF7"/>
    <w:rsid w:val="00A05581"/>
    <w:rsid w:val="00A07124"/>
    <w:rsid w:val="00A10D27"/>
    <w:rsid w:val="00A12650"/>
    <w:rsid w:val="00A1340A"/>
    <w:rsid w:val="00A13C22"/>
    <w:rsid w:val="00A156F3"/>
    <w:rsid w:val="00A212A7"/>
    <w:rsid w:val="00A21323"/>
    <w:rsid w:val="00A24F18"/>
    <w:rsid w:val="00A25277"/>
    <w:rsid w:val="00A25D4C"/>
    <w:rsid w:val="00A3028A"/>
    <w:rsid w:val="00A31FE6"/>
    <w:rsid w:val="00A32BB5"/>
    <w:rsid w:val="00A32BED"/>
    <w:rsid w:val="00A33F13"/>
    <w:rsid w:val="00A36230"/>
    <w:rsid w:val="00A365A4"/>
    <w:rsid w:val="00A36BA2"/>
    <w:rsid w:val="00A42B98"/>
    <w:rsid w:val="00A444D1"/>
    <w:rsid w:val="00A46360"/>
    <w:rsid w:val="00A4690E"/>
    <w:rsid w:val="00A46D6A"/>
    <w:rsid w:val="00A4758F"/>
    <w:rsid w:val="00A476B7"/>
    <w:rsid w:val="00A50E69"/>
    <w:rsid w:val="00A56F7E"/>
    <w:rsid w:val="00A572DF"/>
    <w:rsid w:val="00A57D8D"/>
    <w:rsid w:val="00A6353A"/>
    <w:rsid w:val="00A64B15"/>
    <w:rsid w:val="00A71EB0"/>
    <w:rsid w:val="00A71EC9"/>
    <w:rsid w:val="00A721CF"/>
    <w:rsid w:val="00A72576"/>
    <w:rsid w:val="00A74CA7"/>
    <w:rsid w:val="00A7668F"/>
    <w:rsid w:val="00A80461"/>
    <w:rsid w:val="00A811BE"/>
    <w:rsid w:val="00A82DB7"/>
    <w:rsid w:val="00A83089"/>
    <w:rsid w:val="00A845F2"/>
    <w:rsid w:val="00A85D30"/>
    <w:rsid w:val="00A91385"/>
    <w:rsid w:val="00A91B8F"/>
    <w:rsid w:val="00A91EFA"/>
    <w:rsid w:val="00A9239A"/>
    <w:rsid w:val="00A924C8"/>
    <w:rsid w:val="00A94354"/>
    <w:rsid w:val="00A96A86"/>
    <w:rsid w:val="00A97C32"/>
    <w:rsid w:val="00AA09F6"/>
    <w:rsid w:val="00AA1658"/>
    <w:rsid w:val="00AB024B"/>
    <w:rsid w:val="00AB36C6"/>
    <w:rsid w:val="00AB4494"/>
    <w:rsid w:val="00AB542F"/>
    <w:rsid w:val="00AB601E"/>
    <w:rsid w:val="00AB7579"/>
    <w:rsid w:val="00AC0434"/>
    <w:rsid w:val="00AC18DB"/>
    <w:rsid w:val="00AC31B1"/>
    <w:rsid w:val="00AC5489"/>
    <w:rsid w:val="00AC5F2F"/>
    <w:rsid w:val="00AC7832"/>
    <w:rsid w:val="00AD2EC3"/>
    <w:rsid w:val="00AD3708"/>
    <w:rsid w:val="00AD6303"/>
    <w:rsid w:val="00AD7D28"/>
    <w:rsid w:val="00AE460F"/>
    <w:rsid w:val="00AE782B"/>
    <w:rsid w:val="00AF3613"/>
    <w:rsid w:val="00AF3D3A"/>
    <w:rsid w:val="00AF4E00"/>
    <w:rsid w:val="00AF5C58"/>
    <w:rsid w:val="00B0677B"/>
    <w:rsid w:val="00B10455"/>
    <w:rsid w:val="00B15223"/>
    <w:rsid w:val="00B15299"/>
    <w:rsid w:val="00B15540"/>
    <w:rsid w:val="00B17300"/>
    <w:rsid w:val="00B17D66"/>
    <w:rsid w:val="00B21CF7"/>
    <w:rsid w:val="00B223A4"/>
    <w:rsid w:val="00B2266C"/>
    <w:rsid w:val="00B22E1C"/>
    <w:rsid w:val="00B23015"/>
    <w:rsid w:val="00B233C4"/>
    <w:rsid w:val="00B2411C"/>
    <w:rsid w:val="00B27EC2"/>
    <w:rsid w:val="00B31A7C"/>
    <w:rsid w:val="00B331D7"/>
    <w:rsid w:val="00B34C8D"/>
    <w:rsid w:val="00B36AC4"/>
    <w:rsid w:val="00B37E50"/>
    <w:rsid w:val="00B42650"/>
    <w:rsid w:val="00B44E8C"/>
    <w:rsid w:val="00B512C9"/>
    <w:rsid w:val="00B52451"/>
    <w:rsid w:val="00B56CC2"/>
    <w:rsid w:val="00B62BB5"/>
    <w:rsid w:val="00B6413F"/>
    <w:rsid w:val="00B66738"/>
    <w:rsid w:val="00B71FB3"/>
    <w:rsid w:val="00B72277"/>
    <w:rsid w:val="00B740B4"/>
    <w:rsid w:val="00B74EA5"/>
    <w:rsid w:val="00B7607E"/>
    <w:rsid w:val="00B76104"/>
    <w:rsid w:val="00B77C64"/>
    <w:rsid w:val="00B80E66"/>
    <w:rsid w:val="00B8401F"/>
    <w:rsid w:val="00B8678F"/>
    <w:rsid w:val="00B8696C"/>
    <w:rsid w:val="00B96EC0"/>
    <w:rsid w:val="00B974A7"/>
    <w:rsid w:val="00BA15F9"/>
    <w:rsid w:val="00BA4E57"/>
    <w:rsid w:val="00BB3110"/>
    <w:rsid w:val="00BB3C5F"/>
    <w:rsid w:val="00BB43ED"/>
    <w:rsid w:val="00BB5818"/>
    <w:rsid w:val="00BC447D"/>
    <w:rsid w:val="00BC511F"/>
    <w:rsid w:val="00BD0968"/>
    <w:rsid w:val="00BD1DB1"/>
    <w:rsid w:val="00BD203B"/>
    <w:rsid w:val="00BD230A"/>
    <w:rsid w:val="00BD2A2D"/>
    <w:rsid w:val="00BD40A9"/>
    <w:rsid w:val="00BD5A46"/>
    <w:rsid w:val="00BD5B51"/>
    <w:rsid w:val="00BD60F9"/>
    <w:rsid w:val="00BD62B6"/>
    <w:rsid w:val="00BD67B7"/>
    <w:rsid w:val="00BE11B3"/>
    <w:rsid w:val="00BE2067"/>
    <w:rsid w:val="00BE3104"/>
    <w:rsid w:val="00BE3B59"/>
    <w:rsid w:val="00BE42B4"/>
    <w:rsid w:val="00BE469B"/>
    <w:rsid w:val="00BE4C10"/>
    <w:rsid w:val="00BE66AA"/>
    <w:rsid w:val="00BE7AEF"/>
    <w:rsid w:val="00BF1BF2"/>
    <w:rsid w:val="00BF361D"/>
    <w:rsid w:val="00BF5735"/>
    <w:rsid w:val="00BF6C47"/>
    <w:rsid w:val="00BF7947"/>
    <w:rsid w:val="00C03140"/>
    <w:rsid w:val="00C0649C"/>
    <w:rsid w:val="00C0770B"/>
    <w:rsid w:val="00C12C2D"/>
    <w:rsid w:val="00C158F9"/>
    <w:rsid w:val="00C159BC"/>
    <w:rsid w:val="00C21BA7"/>
    <w:rsid w:val="00C2324E"/>
    <w:rsid w:val="00C25F8C"/>
    <w:rsid w:val="00C270B7"/>
    <w:rsid w:val="00C3149A"/>
    <w:rsid w:val="00C34514"/>
    <w:rsid w:val="00C35A4D"/>
    <w:rsid w:val="00C419E0"/>
    <w:rsid w:val="00C43C7A"/>
    <w:rsid w:val="00C451B7"/>
    <w:rsid w:val="00C45C1B"/>
    <w:rsid w:val="00C5249D"/>
    <w:rsid w:val="00C535CE"/>
    <w:rsid w:val="00C54118"/>
    <w:rsid w:val="00C568AF"/>
    <w:rsid w:val="00C57C1A"/>
    <w:rsid w:val="00C57CAC"/>
    <w:rsid w:val="00C61546"/>
    <w:rsid w:val="00C634D3"/>
    <w:rsid w:val="00C66035"/>
    <w:rsid w:val="00C700E1"/>
    <w:rsid w:val="00C74421"/>
    <w:rsid w:val="00C76F73"/>
    <w:rsid w:val="00C77763"/>
    <w:rsid w:val="00C77A3A"/>
    <w:rsid w:val="00C8127D"/>
    <w:rsid w:val="00C812BC"/>
    <w:rsid w:val="00C815AE"/>
    <w:rsid w:val="00C8184A"/>
    <w:rsid w:val="00C833DB"/>
    <w:rsid w:val="00C851E1"/>
    <w:rsid w:val="00C8531C"/>
    <w:rsid w:val="00C87665"/>
    <w:rsid w:val="00C877A6"/>
    <w:rsid w:val="00C90EF0"/>
    <w:rsid w:val="00C91970"/>
    <w:rsid w:val="00C9340E"/>
    <w:rsid w:val="00C93425"/>
    <w:rsid w:val="00C9488B"/>
    <w:rsid w:val="00C96A40"/>
    <w:rsid w:val="00C96C3A"/>
    <w:rsid w:val="00C977EF"/>
    <w:rsid w:val="00CA31A8"/>
    <w:rsid w:val="00CA3681"/>
    <w:rsid w:val="00CA3AE0"/>
    <w:rsid w:val="00CA483A"/>
    <w:rsid w:val="00CA4B9E"/>
    <w:rsid w:val="00CA5D80"/>
    <w:rsid w:val="00CA7F53"/>
    <w:rsid w:val="00CB0079"/>
    <w:rsid w:val="00CB2F0E"/>
    <w:rsid w:val="00CB5539"/>
    <w:rsid w:val="00CB6420"/>
    <w:rsid w:val="00CB6DF0"/>
    <w:rsid w:val="00CC3392"/>
    <w:rsid w:val="00CC3575"/>
    <w:rsid w:val="00CC50F4"/>
    <w:rsid w:val="00CC582A"/>
    <w:rsid w:val="00CC6DF5"/>
    <w:rsid w:val="00CC701A"/>
    <w:rsid w:val="00CD1B5B"/>
    <w:rsid w:val="00CD6679"/>
    <w:rsid w:val="00CE52E8"/>
    <w:rsid w:val="00CE6512"/>
    <w:rsid w:val="00CF1B41"/>
    <w:rsid w:val="00CF1D78"/>
    <w:rsid w:val="00CF43D2"/>
    <w:rsid w:val="00CF559E"/>
    <w:rsid w:val="00D01580"/>
    <w:rsid w:val="00D019FD"/>
    <w:rsid w:val="00D033A6"/>
    <w:rsid w:val="00D03BE4"/>
    <w:rsid w:val="00D0733D"/>
    <w:rsid w:val="00D1046B"/>
    <w:rsid w:val="00D1078A"/>
    <w:rsid w:val="00D1460E"/>
    <w:rsid w:val="00D15489"/>
    <w:rsid w:val="00D211E3"/>
    <w:rsid w:val="00D23F04"/>
    <w:rsid w:val="00D23F11"/>
    <w:rsid w:val="00D243FF"/>
    <w:rsid w:val="00D255AC"/>
    <w:rsid w:val="00D26E10"/>
    <w:rsid w:val="00D2719E"/>
    <w:rsid w:val="00D30B6F"/>
    <w:rsid w:val="00D30E74"/>
    <w:rsid w:val="00D352FC"/>
    <w:rsid w:val="00D4102A"/>
    <w:rsid w:val="00D415A2"/>
    <w:rsid w:val="00D42074"/>
    <w:rsid w:val="00D4472E"/>
    <w:rsid w:val="00D45797"/>
    <w:rsid w:val="00D45E87"/>
    <w:rsid w:val="00D4739A"/>
    <w:rsid w:val="00D51197"/>
    <w:rsid w:val="00D52EC5"/>
    <w:rsid w:val="00D5647A"/>
    <w:rsid w:val="00D61579"/>
    <w:rsid w:val="00D616F9"/>
    <w:rsid w:val="00D62406"/>
    <w:rsid w:val="00D63B06"/>
    <w:rsid w:val="00D642BD"/>
    <w:rsid w:val="00D70F7D"/>
    <w:rsid w:val="00D74C58"/>
    <w:rsid w:val="00D75DA3"/>
    <w:rsid w:val="00D76F71"/>
    <w:rsid w:val="00D77026"/>
    <w:rsid w:val="00D77449"/>
    <w:rsid w:val="00D80EE1"/>
    <w:rsid w:val="00D81F64"/>
    <w:rsid w:val="00D8206A"/>
    <w:rsid w:val="00D82AD2"/>
    <w:rsid w:val="00D831FA"/>
    <w:rsid w:val="00D83630"/>
    <w:rsid w:val="00D840DC"/>
    <w:rsid w:val="00D84D83"/>
    <w:rsid w:val="00D85C67"/>
    <w:rsid w:val="00D95C50"/>
    <w:rsid w:val="00DA0B3E"/>
    <w:rsid w:val="00DA13A6"/>
    <w:rsid w:val="00DA310F"/>
    <w:rsid w:val="00DA4135"/>
    <w:rsid w:val="00DA4541"/>
    <w:rsid w:val="00DA511A"/>
    <w:rsid w:val="00DA7459"/>
    <w:rsid w:val="00DB430F"/>
    <w:rsid w:val="00DB4FEA"/>
    <w:rsid w:val="00DB7869"/>
    <w:rsid w:val="00DC0D49"/>
    <w:rsid w:val="00DC0D78"/>
    <w:rsid w:val="00DC3EE8"/>
    <w:rsid w:val="00DC4F5B"/>
    <w:rsid w:val="00DC5357"/>
    <w:rsid w:val="00DC5ACC"/>
    <w:rsid w:val="00DC5CE0"/>
    <w:rsid w:val="00DC68F6"/>
    <w:rsid w:val="00DD29C1"/>
    <w:rsid w:val="00DD526A"/>
    <w:rsid w:val="00DD5A15"/>
    <w:rsid w:val="00DE020E"/>
    <w:rsid w:val="00DE0FEC"/>
    <w:rsid w:val="00DE544F"/>
    <w:rsid w:val="00DE7CE6"/>
    <w:rsid w:val="00DF18DB"/>
    <w:rsid w:val="00DF19A0"/>
    <w:rsid w:val="00DF2AA0"/>
    <w:rsid w:val="00DF43FB"/>
    <w:rsid w:val="00DF4652"/>
    <w:rsid w:val="00DF51A4"/>
    <w:rsid w:val="00E005C3"/>
    <w:rsid w:val="00E00E86"/>
    <w:rsid w:val="00E01E5A"/>
    <w:rsid w:val="00E04881"/>
    <w:rsid w:val="00E04CE0"/>
    <w:rsid w:val="00E06E4C"/>
    <w:rsid w:val="00E10021"/>
    <w:rsid w:val="00E12D87"/>
    <w:rsid w:val="00E16A0B"/>
    <w:rsid w:val="00E21F6D"/>
    <w:rsid w:val="00E24F18"/>
    <w:rsid w:val="00E27551"/>
    <w:rsid w:val="00E309A4"/>
    <w:rsid w:val="00E30E61"/>
    <w:rsid w:val="00E318A5"/>
    <w:rsid w:val="00E3331C"/>
    <w:rsid w:val="00E4066C"/>
    <w:rsid w:val="00E40D55"/>
    <w:rsid w:val="00E42C77"/>
    <w:rsid w:val="00E458D1"/>
    <w:rsid w:val="00E46058"/>
    <w:rsid w:val="00E478BF"/>
    <w:rsid w:val="00E47F32"/>
    <w:rsid w:val="00E50121"/>
    <w:rsid w:val="00E5035D"/>
    <w:rsid w:val="00E513EF"/>
    <w:rsid w:val="00E51C2D"/>
    <w:rsid w:val="00E646B2"/>
    <w:rsid w:val="00E67CE0"/>
    <w:rsid w:val="00E719E6"/>
    <w:rsid w:val="00E73953"/>
    <w:rsid w:val="00E73A54"/>
    <w:rsid w:val="00E76A12"/>
    <w:rsid w:val="00E76E0B"/>
    <w:rsid w:val="00E77813"/>
    <w:rsid w:val="00E778BD"/>
    <w:rsid w:val="00E8243A"/>
    <w:rsid w:val="00E82CFE"/>
    <w:rsid w:val="00E83D77"/>
    <w:rsid w:val="00E85099"/>
    <w:rsid w:val="00E85188"/>
    <w:rsid w:val="00E86402"/>
    <w:rsid w:val="00E87E62"/>
    <w:rsid w:val="00E91F8A"/>
    <w:rsid w:val="00E931BC"/>
    <w:rsid w:val="00E9384D"/>
    <w:rsid w:val="00E95691"/>
    <w:rsid w:val="00E95B48"/>
    <w:rsid w:val="00E95F39"/>
    <w:rsid w:val="00E968DC"/>
    <w:rsid w:val="00E96DAE"/>
    <w:rsid w:val="00E9701C"/>
    <w:rsid w:val="00E978F2"/>
    <w:rsid w:val="00EA0521"/>
    <w:rsid w:val="00EA4322"/>
    <w:rsid w:val="00EA6A1F"/>
    <w:rsid w:val="00EB1F88"/>
    <w:rsid w:val="00EB44A5"/>
    <w:rsid w:val="00EB48D3"/>
    <w:rsid w:val="00EB5F8B"/>
    <w:rsid w:val="00EB74E7"/>
    <w:rsid w:val="00EC0567"/>
    <w:rsid w:val="00EC0B2A"/>
    <w:rsid w:val="00ED39F3"/>
    <w:rsid w:val="00ED49F9"/>
    <w:rsid w:val="00ED60E3"/>
    <w:rsid w:val="00ED7366"/>
    <w:rsid w:val="00EE072A"/>
    <w:rsid w:val="00EE0862"/>
    <w:rsid w:val="00EE2FB6"/>
    <w:rsid w:val="00EE6B30"/>
    <w:rsid w:val="00EE702A"/>
    <w:rsid w:val="00EF2E2B"/>
    <w:rsid w:val="00EF5585"/>
    <w:rsid w:val="00F00197"/>
    <w:rsid w:val="00F04371"/>
    <w:rsid w:val="00F05813"/>
    <w:rsid w:val="00F06BFD"/>
    <w:rsid w:val="00F07733"/>
    <w:rsid w:val="00F07779"/>
    <w:rsid w:val="00F12A5D"/>
    <w:rsid w:val="00F15553"/>
    <w:rsid w:val="00F165E0"/>
    <w:rsid w:val="00F222EF"/>
    <w:rsid w:val="00F2488D"/>
    <w:rsid w:val="00F24ED8"/>
    <w:rsid w:val="00F2526C"/>
    <w:rsid w:val="00F2618C"/>
    <w:rsid w:val="00F313F3"/>
    <w:rsid w:val="00F332AC"/>
    <w:rsid w:val="00F35414"/>
    <w:rsid w:val="00F35FC3"/>
    <w:rsid w:val="00F3763E"/>
    <w:rsid w:val="00F42283"/>
    <w:rsid w:val="00F43E6E"/>
    <w:rsid w:val="00F44A5C"/>
    <w:rsid w:val="00F51BC9"/>
    <w:rsid w:val="00F53365"/>
    <w:rsid w:val="00F53F9D"/>
    <w:rsid w:val="00F55C16"/>
    <w:rsid w:val="00F579FE"/>
    <w:rsid w:val="00F61E3B"/>
    <w:rsid w:val="00F6504C"/>
    <w:rsid w:val="00F650E4"/>
    <w:rsid w:val="00F70E9D"/>
    <w:rsid w:val="00F7162C"/>
    <w:rsid w:val="00F72E0E"/>
    <w:rsid w:val="00F72F24"/>
    <w:rsid w:val="00F74B76"/>
    <w:rsid w:val="00F75FE5"/>
    <w:rsid w:val="00F775EC"/>
    <w:rsid w:val="00F83EE6"/>
    <w:rsid w:val="00F86578"/>
    <w:rsid w:val="00F907CD"/>
    <w:rsid w:val="00F91367"/>
    <w:rsid w:val="00F92AC8"/>
    <w:rsid w:val="00F94B9A"/>
    <w:rsid w:val="00F9528D"/>
    <w:rsid w:val="00F963B5"/>
    <w:rsid w:val="00F9799B"/>
    <w:rsid w:val="00FA00A3"/>
    <w:rsid w:val="00FA25FD"/>
    <w:rsid w:val="00FA2B64"/>
    <w:rsid w:val="00FA3539"/>
    <w:rsid w:val="00FA3D0B"/>
    <w:rsid w:val="00FA3F5A"/>
    <w:rsid w:val="00FA47EF"/>
    <w:rsid w:val="00FA49ED"/>
    <w:rsid w:val="00FA5AF9"/>
    <w:rsid w:val="00FB16F1"/>
    <w:rsid w:val="00FB1CD2"/>
    <w:rsid w:val="00FC4933"/>
    <w:rsid w:val="00FC7201"/>
    <w:rsid w:val="00FC73A3"/>
    <w:rsid w:val="00FC73C7"/>
    <w:rsid w:val="00FD3307"/>
    <w:rsid w:val="00FD5155"/>
    <w:rsid w:val="00FD63CB"/>
    <w:rsid w:val="00FD6E89"/>
    <w:rsid w:val="00FE203D"/>
    <w:rsid w:val="00FE3D90"/>
    <w:rsid w:val="00FE59B7"/>
    <w:rsid w:val="00FE629C"/>
    <w:rsid w:val="00FE6B9A"/>
    <w:rsid w:val="00FE6DD3"/>
    <w:rsid w:val="00FE79C8"/>
    <w:rsid w:val="00FE7D20"/>
    <w:rsid w:val="00FF15DD"/>
    <w:rsid w:val="00FF27D9"/>
    <w:rsid w:val="00FF5285"/>
    <w:rsid w:val="00FF7038"/>
    <w:rsid w:val="00FF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PlaceName"/>
  <w:shapeDefaults>
    <o:shapedefaults v:ext="edit" spidmax="1031">
      <o:colormru v:ext="edit" colors="#fdfec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5299"/>
    <w:pPr>
      <w:tabs>
        <w:tab w:val="left" w:pos="360"/>
      </w:tabs>
      <w:spacing w:after="120"/>
      <w:ind w:left="360"/>
    </w:pPr>
    <w:rPr>
      <w:rFonts w:ascii="Times" w:hAnsi="Times"/>
      <w:sz w:val="24"/>
    </w:rPr>
  </w:style>
  <w:style w:type="paragraph" w:styleId="Heading1">
    <w:name w:val="heading 1"/>
    <w:basedOn w:val="Normal"/>
    <w:next w:val="Normal"/>
    <w:qFormat/>
    <w:rsid w:val="004F2679"/>
    <w:pPr>
      <w:keepNext/>
      <w:spacing w:before="240" w:after="240"/>
      <w:ind w:left="0"/>
      <w:jc w:val="center"/>
      <w:outlineLvl w:val="0"/>
    </w:pPr>
    <w:rPr>
      <w:rFonts w:ascii="Helvetica" w:hAnsi="Helvetica"/>
      <w:b/>
      <w:kern w:val="28"/>
      <w:sz w:val="36"/>
    </w:rPr>
  </w:style>
  <w:style w:type="paragraph" w:styleId="Heading2">
    <w:name w:val="heading 2"/>
    <w:basedOn w:val="Normal"/>
    <w:next w:val="Normal"/>
    <w:link w:val="Heading2Char"/>
    <w:qFormat/>
    <w:rsid w:val="004F2679"/>
    <w:pPr>
      <w:keepNext/>
      <w:tabs>
        <w:tab w:val="clear" w:pos="360"/>
        <w:tab w:val="left" w:pos="1470"/>
        <w:tab w:val="left" w:pos="3198"/>
        <w:tab w:val="left" w:pos="4350"/>
        <w:tab w:val="left" w:pos="5790"/>
      </w:tabs>
      <w:spacing w:before="240" w:after="240"/>
      <w:jc w:val="center"/>
      <w:outlineLvl w:val="1"/>
    </w:pPr>
    <w:rPr>
      <w:rFonts w:ascii="Book Antiqua" w:hAnsi="Book Antiqua"/>
      <w:b/>
      <w:color w:val="000000"/>
      <w:sz w:val="32"/>
    </w:rPr>
  </w:style>
  <w:style w:type="paragraph" w:styleId="Heading3">
    <w:name w:val="heading 3"/>
    <w:basedOn w:val="Normal"/>
    <w:next w:val="Normal"/>
    <w:qFormat/>
    <w:rsid w:val="004F2679"/>
    <w:pPr>
      <w:keepNext/>
      <w:jc w:val="center"/>
      <w:outlineLvl w:val="2"/>
    </w:pPr>
    <w:rPr>
      <w:rFonts w:ascii="Arial" w:hAnsi="Arial"/>
      <w:b/>
      <w:sz w:val="36"/>
    </w:rPr>
  </w:style>
  <w:style w:type="paragraph" w:styleId="Heading4">
    <w:name w:val="heading 4"/>
    <w:basedOn w:val="Normal"/>
    <w:next w:val="Normal"/>
    <w:qFormat/>
    <w:rsid w:val="004F2679"/>
    <w:pPr>
      <w:keepNext/>
      <w:tabs>
        <w:tab w:val="clear" w:pos="360"/>
      </w:tabs>
      <w:jc w:val="center"/>
      <w:outlineLvl w:val="3"/>
    </w:pPr>
    <w:rPr>
      <w:rFonts w:ascii="Arial Narrow" w:hAnsi="Arial Narrow"/>
      <w:b/>
      <w:i/>
      <w:color w:val="000000"/>
    </w:rPr>
  </w:style>
  <w:style w:type="paragraph" w:styleId="Heading5">
    <w:name w:val="heading 5"/>
    <w:basedOn w:val="Normal"/>
    <w:next w:val="Normal"/>
    <w:qFormat/>
    <w:rsid w:val="004F2679"/>
    <w:pPr>
      <w:keepNext/>
      <w:tabs>
        <w:tab w:val="left" w:pos="720"/>
        <w:tab w:val="left" w:pos="1080"/>
      </w:tabs>
      <w:spacing w:line="240" w:lineRule="atLeast"/>
      <w:ind w:left="1800" w:hanging="720"/>
      <w:outlineLvl w:val="4"/>
    </w:pPr>
    <w:rPr>
      <w:b/>
    </w:rPr>
  </w:style>
  <w:style w:type="paragraph" w:styleId="Heading6">
    <w:name w:val="heading 6"/>
    <w:basedOn w:val="Normal"/>
    <w:next w:val="Normal"/>
    <w:qFormat/>
    <w:rsid w:val="004F2679"/>
    <w:pPr>
      <w:keepNext/>
      <w:jc w:val="center"/>
      <w:outlineLvl w:val="5"/>
    </w:pPr>
    <w:rPr>
      <w:rFonts w:ascii="Arial" w:hAnsi="Arial"/>
      <w:b/>
      <w:sz w:val="32"/>
    </w:rPr>
  </w:style>
  <w:style w:type="paragraph" w:styleId="Heading7">
    <w:name w:val="heading 7"/>
    <w:basedOn w:val="Normal"/>
    <w:next w:val="Normal"/>
    <w:qFormat/>
    <w:rsid w:val="004F2679"/>
    <w:pPr>
      <w:keepNext/>
      <w:tabs>
        <w:tab w:val="left" w:pos="810"/>
        <w:tab w:val="right" w:leader="dot" w:pos="9000"/>
      </w:tabs>
      <w:outlineLvl w:val="6"/>
    </w:pPr>
    <w:rPr>
      <w:b/>
    </w:rPr>
  </w:style>
  <w:style w:type="paragraph" w:styleId="Heading8">
    <w:name w:val="heading 8"/>
    <w:basedOn w:val="Normal"/>
    <w:next w:val="Normal"/>
    <w:qFormat/>
    <w:rsid w:val="004F2679"/>
    <w:pPr>
      <w:keepNext/>
      <w:tabs>
        <w:tab w:val="clear" w:pos="360"/>
        <w:tab w:val="left" w:pos="1470"/>
        <w:tab w:val="left" w:pos="3198"/>
        <w:tab w:val="left" w:pos="4350"/>
        <w:tab w:val="left" w:pos="5934"/>
        <w:tab w:val="left" w:pos="7374"/>
        <w:tab w:val="left" w:pos="8814"/>
        <w:tab w:val="left" w:pos="10254"/>
      </w:tabs>
      <w:jc w:val="center"/>
      <w:outlineLvl w:val="7"/>
    </w:pPr>
    <w:rPr>
      <w:rFonts w:ascii="Arial" w:hAnsi="Arial"/>
      <w:snapToGrid w:val="0"/>
      <w:color w:val="000000"/>
      <w:sz w:val="32"/>
    </w:rPr>
  </w:style>
  <w:style w:type="paragraph" w:styleId="Heading9">
    <w:name w:val="heading 9"/>
    <w:basedOn w:val="Normal"/>
    <w:next w:val="Normal"/>
    <w:qFormat/>
    <w:rsid w:val="004F2679"/>
    <w:pPr>
      <w:keepNext/>
      <w:jc w:val="center"/>
      <w:outlineLvl w:val="8"/>
    </w:pPr>
    <w:rPr>
      <w:rFonts w:ascii="Arial Narrow" w:hAnsi="Arial Narrow"/>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2679"/>
    <w:pPr>
      <w:tabs>
        <w:tab w:val="clear" w:pos="360"/>
        <w:tab w:val="right" w:pos="9360"/>
      </w:tabs>
    </w:pPr>
    <w:rPr>
      <w:sz w:val="16"/>
    </w:rPr>
  </w:style>
  <w:style w:type="character" w:styleId="PageNumber">
    <w:name w:val="page number"/>
    <w:basedOn w:val="DefaultParagraphFont"/>
    <w:rsid w:val="004F2679"/>
  </w:style>
  <w:style w:type="paragraph" w:styleId="BodyText">
    <w:name w:val="Body Text"/>
    <w:basedOn w:val="Normal"/>
    <w:rsid w:val="004F2679"/>
    <w:pPr>
      <w:tabs>
        <w:tab w:val="clear" w:pos="360"/>
      </w:tabs>
    </w:pPr>
    <w:rPr>
      <w:rFonts w:ascii="CG Times (W1)" w:hAnsi="CG Times (W1)"/>
      <w:sz w:val="20"/>
    </w:rPr>
  </w:style>
  <w:style w:type="paragraph" w:styleId="List2">
    <w:name w:val="List 2"/>
    <w:basedOn w:val="Normal"/>
    <w:rsid w:val="004F2679"/>
    <w:pPr>
      <w:tabs>
        <w:tab w:val="clear" w:pos="360"/>
      </w:tabs>
      <w:ind w:left="720" w:hanging="360"/>
    </w:pPr>
    <w:rPr>
      <w:rFonts w:ascii="CG Times (W1)" w:hAnsi="CG Times (W1)"/>
      <w:sz w:val="20"/>
    </w:rPr>
  </w:style>
  <w:style w:type="paragraph" w:styleId="List">
    <w:name w:val="List"/>
    <w:basedOn w:val="Normal"/>
    <w:rsid w:val="004F2679"/>
    <w:pPr>
      <w:tabs>
        <w:tab w:val="clear" w:pos="360"/>
      </w:tabs>
      <w:ind w:hanging="360"/>
    </w:pPr>
    <w:rPr>
      <w:rFonts w:ascii="CG Times (W1)" w:hAnsi="CG Times (W1)"/>
      <w:sz w:val="20"/>
    </w:rPr>
  </w:style>
  <w:style w:type="paragraph" w:styleId="Header">
    <w:name w:val="header"/>
    <w:basedOn w:val="Normal"/>
    <w:rsid w:val="004F2679"/>
    <w:pPr>
      <w:tabs>
        <w:tab w:val="clear" w:pos="360"/>
        <w:tab w:val="center" w:pos="4320"/>
        <w:tab w:val="right" w:pos="8640"/>
      </w:tabs>
    </w:pPr>
  </w:style>
  <w:style w:type="paragraph" w:customStyle="1" w:styleId="DPBtitle">
    <w:name w:val="DPB title"/>
    <w:basedOn w:val="Normal"/>
    <w:next w:val="Normal"/>
    <w:rsid w:val="004F2679"/>
    <w:pPr>
      <w:tabs>
        <w:tab w:val="clear" w:pos="360"/>
        <w:tab w:val="left" w:pos="540"/>
      </w:tabs>
      <w:ind w:left="720" w:right="3600"/>
    </w:pPr>
    <w:rPr>
      <w:rFonts w:ascii="Arial" w:hAnsi="Arial"/>
      <w:b/>
      <w:sz w:val="56"/>
    </w:rPr>
  </w:style>
  <w:style w:type="paragraph" w:customStyle="1" w:styleId="linespace">
    <w:name w:val="linespace"/>
    <w:basedOn w:val="Normal"/>
    <w:next w:val="DPBline2"/>
    <w:rsid w:val="004F2679"/>
    <w:pPr>
      <w:tabs>
        <w:tab w:val="clear" w:pos="360"/>
        <w:tab w:val="left" w:pos="540"/>
        <w:tab w:val="decimal" w:pos="3600"/>
        <w:tab w:val="decimal" w:pos="5400"/>
        <w:tab w:val="decimal" w:pos="7200"/>
        <w:tab w:val="decimal" w:pos="9000"/>
      </w:tabs>
      <w:ind w:left="720"/>
    </w:pPr>
    <w:rPr>
      <w:sz w:val="8"/>
    </w:rPr>
  </w:style>
  <w:style w:type="paragraph" w:customStyle="1" w:styleId="DPBline2">
    <w:name w:val="DPB line2"/>
    <w:basedOn w:val="Normal"/>
    <w:next w:val="DPBbullet"/>
    <w:rsid w:val="004F2679"/>
    <w:pPr>
      <w:pBdr>
        <w:top w:val="single" w:sz="36" w:space="1" w:color="auto"/>
      </w:pBdr>
      <w:tabs>
        <w:tab w:val="clear" w:pos="360"/>
      </w:tabs>
      <w:spacing w:after="360"/>
    </w:pPr>
    <w:rPr>
      <w:sz w:val="36"/>
    </w:rPr>
  </w:style>
  <w:style w:type="paragraph" w:customStyle="1" w:styleId="DPBbullet">
    <w:name w:val="DPB bullet"/>
    <w:basedOn w:val="Normal"/>
    <w:next w:val="DPBspace"/>
    <w:rsid w:val="004F2679"/>
    <w:pPr>
      <w:tabs>
        <w:tab w:val="clear" w:pos="360"/>
      </w:tabs>
      <w:ind w:hanging="360"/>
    </w:pPr>
    <w:rPr>
      <w:sz w:val="36"/>
    </w:rPr>
  </w:style>
  <w:style w:type="paragraph" w:customStyle="1" w:styleId="DPBspace">
    <w:name w:val="DPB space"/>
    <w:basedOn w:val="DPBbullet"/>
    <w:next w:val="DPBbullet"/>
    <w:rsid w:val="004F2679"/>
  </w:style>
  <w:style w:type="paragraph" w:customStyle="1" w:styleId="DPBline1">
    <w:name w:val="DPB line1"/>
    <w:basedOn w:val="Normal"/>
    <w:next w:val="Normal"/>
    <w:rsid w:val="004F2679"/>
    <w:pPr>
      <w:pBdr>
        <w:top w:val="single" w:sz="36" w:space="1" w:color="auto"/>
      </w:pBdr>
      <w:tabs>
        <w:tab w:val="clear" w:pos="360"/>
        <w:tab w:val="left" w:pos="540"/>
        <w:tab w:val="decimal" w:pos="3600"/>
        <w:tab w:val="decimal" w:pos="7200"/>
        <w:tab w:val="decimal" w:pos="9000"/>
      </w:tabs>
      <w:ind w:left="720" w:right="3600"/>
    </w:pPr>
    <w:rPr>
      <w:sz w:val="36"/>
    </w:rPr>
  </w:style>
  <w:style w:type="paragraph" w:customStyle="1" w:styleId="DPBsubtitle">
    <w:name w:val="DPB subtitle"/>
    <w:basedOn w:val="Normal"/>
    <w:rsid w:val="004F2679"/>
    <w:pPr>
      <w:tabs>
        <w:tab w:val="clear" w:pos="360"/>
        <w:tab w:val="left" w:pos="540"/>
      </w:tabs>
      <w:ind w:left="720"/>
    </w:pPr>
    <w:rPr>
      <w:i/>
      <w:sz w:val="32"/>
    </w:rPr>
  </w:style>
  <w:style w:type="paragraph" w:customStyle="1" w:styleId="DPBname">
    <w:name w:val="DPB name"/>
    <w:basedOn w:val="Normal"/>
    <w:rsid w:val="004F2679"/>
    <w:pPr>
      <w:tabs>
        <w:tab w:val="clear" w:pos="360"/>
        <w:tab w:val="left" w:pos="540"/>
      </w:tabs>
      <w:ind w:left="6480"/>
    </w:pPr>
    <w:rPr>
      <w:rFonts w:ascii="Arial" w:hAnsi="Arial"/>
      <w:sz w:val="22"/>
    </w:rPr>
  </w:style>
  <w:style w:type="paragraph" w:customStyle="1" w:styleId="DPBhead">
    <w:name w:val="DPB head"/>
    <w:basedOn w:val="Normal"/>
    <w:next w:val="linespace"/>
    <w:rsid w:val="004F2679"/>
    <w:pPr>
      <w:tabs>
        <w:tab w:val="clear" w:pos="360"/>
        <w:tab w:val="left" w:pos="540"/>
        <w:tab w:val="decimal" w:pos="3600"/>
        <w:tab w:val="decimal" w:pos="5400"/>
        <w:tab w:val="decimal" w:pos="7200"/>
        <w:tab w:val="decimal" w:pos="9000"/>
      </w:tabs>
    </w:pPr>
    <w:rPr>
      <w:rFonts w:ascii="Arial" w:hAnsi="Arial"/>
      <w:b/>
      <w:sz w:val="48"/>
    </w:rPr>
  </w:style>
  <w:style w:type="paragraph" w:customStyle="1" w:styleId="DPBboldpoint">
    <w:name w:val="DPB bold point"/>
    <w:basedOn w:val="Normal"/>
    <w:next w:val="Normal"/>
    <w:rsid w:val="004F2679"/>
    <w:pPr>
      <w:tabs>
        <w:tab w:val="clear" w:pos="360"/>
        <w:tab w:val="left" w:pos="540"/>
        <w:tab w:val="decimal" w:pos="3600"/>
        <w:tab w:val="decimal" w:pos="5400"/>
        <w:tab w:val="decimal" w:pos="7200"/>
        <w:tab w:val="decimal" w:pos="9000"/>
      </w:tabs>
    </w:pPr>
    <w:rPr>
      <w:b/>
      <w:sz w:val="36"/>
    </w:rPr>
  </w:style>
  <w:style w:type="paragraph" w:customStyle="1" w:styleId="Subprogram">
    <w:name w:val="Subprogram"/>
    <w:basedOn w:val="Normal"/>
    <w:rsid w:val="004F2679"/>
    <w:pPr>
      <w:tabs>
        <w:tab w:val="clear" w:pos="360"/>
        <w:tab w:val="left" w:pos="540"/>
        <w:tab w:val="decimal" w:pos="1824"/>
        <w:tab w:val="decimal" w:pos="2304"/>
        <w:tab w:val="decimal" w:pos="2784"/>
        <w:tab w:val="decimal" w:pos="3264"/>
        <w:tab w:val="decimal" w:pos="3744"/>
        <w:tab w:val="decimal" w:pos="4224"/>
        <w:tab w:val="decimal" w:pos="4704"/>
        <w:tab w:val="decimal" w:pos="5184"/>
        <w:tab w:val="decimal" w:pos="5664"/>
        <w:tab w:val="decimal" w:pos="6144"/>
        <w:tab w:val="decimal" w:pos="6624"/>
      </w:tabs>
      <w:spacing w:line="180" w:lineRule="atLeast"/>
      <w:ind w:left="540" w:hanging="540"/>
    </w:pPr>
    <w:rPr>
      <w:sz w:val="20"/>
    </w:rPr>
  </w:style>
  <w:style w:type="paragraph" w:styleId="BodyTextIndent">
    <w:name w:val="Body Text Indent"/>
    <w:basedOn w:val="Normal"/>
    <w:link w:val="BodyTextIndentChar"/>
    <w:rsid w:val="004F2679"/>
    <w:pPr>
      <w:ind w:left="0" w:firstLine="360"/>
    </w:pPr>
  </w:style>
  <w:style w:type="character" w:styleId="Hyperlink">
    <w:name w:val="Hyperlink"/>
    <w:basedOn w:val="DefaultParagraphFont"/>
    <w:uiPriority w:val="99"/>
    <w:rsid w:val="004F2679"/>
    <w:rPr>
      <w:color w:val="0000FF"/>
      <w:u w:val="single"/>
    </w:rPr>
  </w:style>
  <w:style w:type="paragraph" w:styleId="FootnoteText">
    <w:name w:val="footnote text"/>
    <w:basedOn w:val="Normal"/>
    <w:semiHidden/>
    <w:rsid w:val="004F2679"/>
    <w:rPr>
      <w:sz w:val="20"/>
    </w:rPr>
  </w:style>
  <w:style w:type="character" w:styleId="FootnoteReference">
    <w:name w:val="footnote reference"/>
    <w:basedOn w:val="DefaultParagraphFont"/>
    <w:semiHidden/>
    <w:rsid w:val="004F2679"/>
    <w:rPr>
      <w:vertAlign w:val="superscript"/>
    </w:rPr>
  </w:style>
  <w:style w:type="paragraph" w:styleId="ListBullet">
    <w:name w:val="List Bullet"/>
    <w:basedOn w:val="Normal"/>
    <w:autoRedefine/>
    <w:rsid w:val="004F2679"/>
    <w:pPr>
      <w:numPr>
        <w:numId w:val="2"/>
      </w:numPr>
    </w:pPr>
  </w:style>
  <w:style w:type="paragraph" w:styleId="BodyTextIndent2">
    <w:name w:val="Body Text Indent 2"/>
    <w:basedOn w:val="Normal"/>
    <w:rsid w:val="004F2679"/>
    <w:rPr>
      <w:sz w:val="26"/>
    </w:rPr>
  </w:style>
  <w:style w:type="paragraph" w:styleId="BodyText2">
    <w:name w:val="Body Text 2"/>
    <w:basedOn w:val="Normal"/>
    <w:rsid w:val="004F2679"/>
    <w:pPr>
      <w:tabs>
        <w:tab w:val="clear" w:pos="360"/>
        <w:tab w:val="left" w:pos="480"/>
        <w:tab w:val="left" w:pos="960"/>
        <w:tab w:val="left" w:pos="1320"/>
      </w:tabs>
      <w:spacing w:line="240" w:lineRule="atLeast"/>
    </w:pPr>
    <w:rPr>
      <w:b/>
    </w:rPr>
  </w:style>
  <w:style w:type="paragraph" w:styleId="BodyTextIndent3">
    <w:name w:val="Body Text Indent 3"/>
    <w:basedOn w:val="Normal"/>
    <w:rsid w:val="004F2679"/>
    <w:pPr>
      <w:tabs>
        <w:tab w:val="left" w:pos="540"/>
      </w:tabs>
      <w:spacing w:line="240" w:lineRule="atLeast"/>
      <w:ind w:left="540"/>
    </w:pPr>
  </w:style>
  <w:style w:type="paragraph" w:styleId="BodyText3">
    <w:name w:val="Body Text 3"/>
    <w:basedOn w:val="Normal"/>
    <w:rsid w:val="004F2679"/>
    <w:pPr>
      <w:tabs>
        <w:tab w:val="left" w:pos="480"/>
        <w:tab w:val="left" w:pos="1080"/>
        <w:tab w:val="left" w:pos="1680"/>
        <w:tab w:val="left" w:pos="2280"/>
        <w:tab w:val="left" w:pos="2880"/>
        <w:tab w:val="left" w:pos="3480"/>
        <w:tab w:val="left" w:pos="4080"/>
      </w:tabs>
      <w:spacing w:line="240" w:lineRule="atLeast"/>
    </w:pPr>
    <w:rPr>
      <w:rFonts w:ascii="Arial" w:hAnsi="Arial"/>
      <w:b/>
      <w:sz w:val="28"/>
    </w:rPr>
  </w:style>
  <w:style w:type="paragraph" w:styleId="Title">
    <w:name w:val="Title"/>
    <w:basedOn w:val="Normal"/>
    <w:qFormat/>
    <w:rsid w:val="004F2679"/>
    <w:pPr>
      <w:jc w:val="center"/>
    </w:pPr>
  </w:style>
  <w:style w:type="paragraph" w:customStyle="1" w:styleId="littlebullets">
    <w:name w:val="little bullets"/>
    <w:basedOn w:val="Normal"/>
    <w:rsid w:val="004F2679"/>
    <w:pPr>
      <w:tabs>
        <w:tab w:val="clear" w:pos="360"/>
        <w:tab w:val="left" w:pos="540"/>
        <w:tab w:val="left" w:pos="900"/>
        <w:tab w:val="left" w:pos="1260"/>
        <w:tab w:val="left" w:pos="1620"/>
        <w:tab w:val="left" w:pos="3240"/>
        <w:tab w:val="left" w:pos="5040"/>
      </w:tabs>
      <w:spacing w:line="240" w:lineRule="atLeast"/>
      <w:ind w:left="900" w:hanging="360"/>
    </w:pPr>
  </w:style>
  <w:style w:type="character" w:styleId="FollowedHyperlink">
    <w:name w:val="FollowedHyperlink"/>
    <w:basedOn w:val="DefaultParagraphFont"/>
    <w:rsid w:val="004F2679"/>
    <w:rPr>
      <w:color w:val="800080"/>
      <w:u w:val="single"/>
    </w:rPr>
  </w:style>
  <w:style w:type="paragraph" w:styleId="DocumentMap">
    <w:name w:val="Document Map"/>
    <w:basedOn w:val="Normal"/>
    <w:semiHidden/>
    <w:rsid w:val="004F2679"/>
    <w:pPr>
      <w:shd w:val="clear" w:color="auto" w:fill="000080"/>
    </w:pPr>
    <w:rPr>
      <w:rFonts w:ascii="Tahoma" w:hAnsi="Tahoma"/>
    </w:rPr>
  </w:style>
  <w:style w:type="paragraph" w:styleId="BlockText">
    <w:name w:val="Block Text"/>
    <w:basedOn w:val="Normal"/>
    <w:rsid w:val="004F2679"/>
    <w:pPr>
      <w:ind w:left="58" w:right="58"/>
    </w:pPr>
    <w:rPr>
      <w:b/>
      <w:bCs/>
    </w:rPr>
  </w:style>
  <w:style w:type="paragraph" w:styleId="TOC1">
    <w:name w:val="toc 1"/>
    <w:basedOn w:val="Normal"/>
    <w:next w:val="Normal"/>
    <w:autoRedefine/>
    <w:uiPriority w:val="39"/>
    <w:qFormat/>
    <w:rsid w:val="004D00F6"/>
    <w:pPr>
      <w:tabs>
        <w:tab w:val="clear" w:pos="360"/>
        <w:tab w:val="right" w:leader="dot" w:pos="9900"/>
      </w:tabs>
      <w:spacing w:after="0"/>
      <w:ind w:left="288" w:hanging="288"/>
    </w:pPr>
    <w:rPr>
      <w:b/>
      <w:bCs/>
      <w:noProof/>
      <w:szCs w:val="36"/>
    </w:rPr>
  </w:style>
  <w:style w:type="paragraph" w:styleId="TOC2">
    <w:name w:val="toc 2"/>
    <w:basedOn w:val="Normal"/>
    <w:next w:val="Normal"/>
    <w:autoRedefine/>
    <w:uiPriority w:val="39"/>
    <w:rsid w:val="00DB4FEA"/>
    <w:pPr>
      <w:tabs>
        <w:tab w:val="clear" w:pos="360"/>
        <w:tab w:val="right" w:leader="dot" w:pos="9630"/>
      </w:tabs>
      <w:spacing w:after="0"/>
      <w:ind w:left="288"/>
    </w:pPr>
    <w:rPr>
      <w:noProof/>
      <w:szCs w:val="32"/>
    </w:rPr>
  </w:style>
  <w:style w:type="paragraph" w:styleId="TOC3">
    <w:name w:val="toc 3"/>
    <w:basedOn w:val="Normal"/>
    <w:next w:val="Normal"/>
    <w:autoRedefine/>
    <w:semiHidden/>
    <w:rsid w:val="004F2679"/>
    <w:pPr>
      <w:tabs>
        <w:tab w:val="clear" w:pos="360"/>
      </w:tabs>
      <w:ind w:left="480"/>
    </w:pPr>
  </w:style>
  <w:style w:type="paragraph" w:styleId="TOC4">
    <w:name w:val="toc 4"/>
    <w:basedOn w:val="Normal"/>
    <w:next w:val="Normal"/>
    <w:autoRedefine/>
    <w:semiHidden/>
    <w:rsid w:val="004F2679"/>
    <w:pPr>
      <w:tabs>
        <w:tab w:val="clear" w:pos="360"/>
      </w:tabs>
      <w:ind w:left="720"/>
    </w:pPr>
  </w:style>
  <w:style w:type="paragraph" w:styleId="TOC5">
    <w:name w:val="toc 5"/>
    <w:basedOn w:val="Normal"/>
    <w:next w:val="Normal"/>
    <w:autoRedefine/>
    <w:semiHidden/>
    <w:rsid w:val="004F2679"/>
    <w:pPr>
      <w:tabs>
        <w:tab w:val="clear" w:pos="360"/>
      </w:tabs>
      <w:ind w:left="960"/>
    </w:pPr>
  </w:style>
  <w:style w:type="paragraph" w:styleId="TOC6">
    <w:name w:val="toc 6"/>
    <w:basedOn w:val="Normal"/>
    <w:next w:val="Normal"/>
    <w:autoRedefine/>
    <w:semiHidden/>
    <w:rsid w:val="004F2679"/>
    <w:pPr>
      <w:tabs>
        <w:tab w:val="clear" w:pos="360"/>
      </w:tabs>
      <w:ind w:left="1200"/>
    </w:pPr>
  </w:style>
  <w:style w:type="paragraph" w:styleId="TOC7">
    <w:name w:val="toc 7"/>
    <w:basedOn w:val="Normal"/>
    <w:next w:val="Normal"/>
    <w:autoRedefine/>
    <w:semiHidden/>
    <w:rsid w:val="004F2679"/>
    <w:pPr>
      <w:tabs>
        <w:tab w:val="clear" w:pos="360"/>
      </w:tabs>
      <w:ind w:left="1440"/>
    </w:pPr>
  </w:style>
  <w:style w:type="paragraph" w:styleId="TOC8">
    <w:name w:val="toc 8"/>
    <w:basedOn w:val="Normal"/>
    <w:next w:val="Normal"/>
    <w:autoRedefine/>
    <w:semiHidden/>
    <w:rsid w:val="004F2679"/>
    <w:pPr>
      <w:tabs>
        <w:tab w:val="clear" w:pos="360"/>
      </w:tabs>
      <w:ind w:left="1680"/>
    </w:pPr>
  </w:style>
  <w:style w:type="paragraph" w:styleId="TOC9">
    <w:name w:val="toc 9"/>
    <w:basedOn w:val="Normal"/>
    <w:next w:val="Normal"/>
    <w:autoRedefine/>
    <w:semiHidden/>
    <w:rsid w:val="004F2679"/>
    <w:pPr>
      <w:tabs>
        <w:tab w:val="clear" w:pos="360"/>
      </w:tabs>
      <w:ind w:left="1920"/>
    </w:pPr>
  </w:style>
  <w:style w:type="paragraph" w:styleId="BalloonText">
    <w:name w:val="Balloon Text"/>
    <w:basedOn w:val="Normal"/>
    <w:semiHidden/>
    <w:rsid w:val="008B0951"/>
    <w:rPr>
      <w:rFonts w:ascii="Tahoma" w:hAnsi="Tahoma" w:cs="Tahoma"/>
      <w:sz w:val="16"/>
      <w:szCs w:val="16"/>
    </w:rPr>
  </w:style>
  <w:style w:type="paragraph" w:customStyle="1" w:styleId="NormalAfter150pt">
    <w:name w:val="Normal + After:  1.50 pt"/>
    <w:basedOn w:val="Normal"/>
    <w:rsid w:val="00C419E0"/>
    <w:pPr>
      <w:spacing w:after="0"/>
    </w:pPr>
  </w:style>
  <w:style w:type="paragraph" w:styleId="NormalWeb">
    <w:name w:val="Normal (Web)"/>
    <w:basedOn w:val="Normal"/>
    <w:rsid w:val="00355F90"/>
    <w:pPr>
      <w:tabs>
        <w:tab w:val="clear" w:pos="360"/>
      </w:tabs>
      <w:spacing w:before="100" w:beforeAutospacing="1" w:after="100" w:afterAutospacing="1"/>
      <w:ind w:left="0"/>
    </w:pPr>
    <w:rPr>
      <w:rFonts w:ascii="Times New Roman" w:hAnsi="Times New Roman"/>
      <w:szCs w:val="24"/>
    </w:rPr>
  </w:style>
  <w:style w:type="character" w:customStyle="1" w:styleId="Heading2Char">
    <w:name w:val="Heading 2 Char"/>
    <w:basedOn w:val="DefaultParagraphFont"/>
    <w:link w:val="Heading2"/>
    <w:rsid w:val="003C3CC9"/>
    <w:rPr>
      <w:rFonts w:ascii="Book Antiqua" w:hAnsi="Book Antiqua"/>
      <w:b/>
      <w:color w:val="000000"/>
      <w:sz w:val="32"/>
    </w:rPr>
  </w:style>
  <w:style w:type="character" w:customStyle="1" w:styleId="BodyTextIndentChar">
    <w:name w:val="Body Text Indent Char"/>
    <w:basedOn w:val="DefaultParagraphFont"/>
    <w:link w:val="BodyTextIndent"/>
    <w:rsid w:val="003C3CC9"/>
    <w:rPr>
      <w:rFonts w:ascii="Times" w:hAnsi="Times"/>
      <w:sz w:val="24"/>
    </w:rPr>
  </w:style>
  <w:style w:type="paragraph" w:customStyle="1" w:styleId="HelpTopic">
    <w:name w:val="Help Topic"/>
    <w:basedOn w:val="Heading2"/>
    <w:qFormat/>
    <w:rsid w:val="009F017F"/>
    <w:pPr>
      <w:keepLines/>
      <w:tabs>
        <w:tab w:val="clear" w:pos="1470"/>
        <w:tab w:val="clear" w:pos="3198"/>
        <w:tab w:val="clear" w:pos="4350"/>
        <w:tab w:val="clear" w:pos="5790"/>
      </w:tabs>
      <w:spacing w:after="120"/>
      <w:ind w:left="0"/>
      <w:jc w:val="left"/>
    </w:pPr>
    <w:rPr>
      <w:rFonts w:ascii="Calibri" w:hAnsi="Calibri"/>
      <w:bCs/>
      <w:color w:val="4F81BD"/>
      <w:sz w:val="36"/>
      <w:szCs w:val="36"/>
    </w:rPr>
  </w:style>
  <w:style w:type="character" w:customStyle="1" w:styleId="FooterChar">
    <w:name w:val="Footer Char"/>
    <w:basedOn w:val="DefaultParagraphFont"/>
    <w:link w:val="Footer"/>
    <w:uiPriority w:val="99"/>
    <w:rsid w:val="009F017F"/>
    <w:rPr>
      <w:rFonts w:ascii="Times" w:hAnsi="Times"/>
      <w:sz w:val="16"/>
    </w:rPr>
  </w:style>
  <w:style w:type="paragraph" w:customStyle="1" w:styleId="MyHeading">
    <w:name w:val="MyHeading"/>
    <w:basedOn w:val="Heading1"/>
    <w:link w:val="MyHeadingChar"/>
    <w:qFormat/>
    <w:rsid w:val="00295911"/>
    <w:pPr>
      <w:keepNext w:val="0"/>
      <w:tabs>
        <w:tab w:val="clear" w:pos="360"/>
      </w:tabs>
      <w:spacing w:before="0" w:after="0"/>
      <w:jc w:val="left"/>
    </w:pPr>
    <w:rPr>
      <w:rFonts w:ascii="Calibri" w:hAnsi="Calibri"/>
      <w:bCs/>
      <w:color w:val="4F81BD"/>
      <w:kern w:val="0"/>
      <w:sz w:val="48"/>
      <w:szCs w:val="48"/>
    </w:rPr>
  </w:style>
  <w:style w:type="character" w:customStyle="1" w:styleId="MyHeadingChar">
    <w:name w:val="MyHeading Char"/>
    <w:basedOn w:val="DefaultParagraphFont"/>
    <w:link w:val="MyHeading"/>
    <w:rsid w:val="00295911"/>
    <w:rPr>
      <w:rFonts w:ascii="Calibri" w:hAnsi="Calibri"/>
      <w:b/>
      <w:bCs/>
      <w:color w:val="4F81BD"/>
      <w:sz w:val="48"/>
      <w:szCs w:val="48"/>
    </w:rPr>
  </w:style>
  <w:style w:type="paragraph" w:customStyle="1" w:styleId="SubHeading">
    <w:name w:val="SubHeading"/>
    <w:basedOn w:val="Normal"/>
    <w:link w:val="SubHeadingChar"/>
    <w:qFormat/>
    <w:rsid w:val="00295911"/>
    <w:pPr>
      <w:tabs>
        <w:tab w:val="clear" w:pos="360"/>
        <w:tab w:val="left" w:pos="720"/>
      </w:tabs>
      <w:autoSpaceDE w:val="0"/>
      <w:autoSpaceDN w:val="0"/>
      <w:adjustRightInd w:val="0"/>
      <w:spacing w:before="120" w:after="0"/>
      <w:ind w:left="0"/>
    </w:pPr>
    <w:rPr>
      <w:rFonts w:ascii="Calibri" w:hAnsi="Calibri"/>
      <w:b/>
      <w:bCs/>
      <w:color w:val="4F81BD"/>
      <w:sz w:val="32"/>
      <w:szCs w:val="32"/>
    </w:rPr>
  </w:style>
  <w:style w:type="character" w:customStyle="1" w:styleId="SubHeadingChar">
    <w:name w:val="SubHeading Char"/>
    <w:basedOn w:val="DefaultParagraphFont"/>
    <w:link w:val="SubHeading"/>
    <w:rsid w:val="00295911"/>
    <w:rPr>
      <w:rFonts w:ascii="Calibri" w:hAnsi="Calibri"/>
      <w:b/>
      <w:bCs/>
      <w:color w:val="4F81BD"/>
      <w:sz w:val="32"/>
      <w:szCs w:val="32"/>
    </w:rPr>
  </w:style>
  <w:style w:type="paragraph" w:customStyle="1" w:styleId="StyleTimesNewRomanAfter4pt">
    <w:name w:val="Style Times New Roman After:  4 pt"/>
    <w:basedOn w:val="Normal"/>
    <w:link w:val="StyleTimesNewRomanAfter4ptChar"/>
    <w:rsid w:val="00295911"/>
    <w:pPr>
      <w:tabs>
        <w:tab w:val="clear" w:pos="360"/>
      </w:tabs>
      <w:autoSpaceDE w:val="0"/>
      <w:autoSpaceDN w:val="0"/>
      <w:adjustRightInd w:val="0"/>
      <w:spacing w:before="120"/>
      <w:ind w:left="0" w:firstLine="720"/>
    </w:pPr>
    <w:rPr>
      <w:rFonts w:ascii="Times New Roman" w:hAnsi="Times New Roman"/>
    </w:rPr>
  </w:style>
  <w:style w:type="character" w:customStyle="1" w:styleId="StyleTimesNewRomanAfter4ptChar">
    <w:name w:val="Style Times New Roman After:  4 pt Char"/>
    <w:basedOn w:val="DefaultParagraphFont"/>
    <w:link w:val="StyleTimesNewRomanAfter4pt"/>
    <w:rsid w:val="005C3182"/>
    <w:rPr>
      <w:sz w:val="24"/>
    </w:rPr>
  </w:style>
  <w:style w:type="paragraph" w:styleId="ListParagraph">
    <w:name w:val="List Paragraph"/>
    <w:basedOn w:val="Normal"/>
    <w:uiPriority w:val="34"/>
    <w:qFormat/>
    <w:rsid w:val="009C2ACE"/>
    <w:pPr>
      <w:tabs>
        <w:tab w:val="clear" w:pos="360"/>
      </w:tabs>
      <w:spacing w:after="200" w:line="276" w:lineRule="auto"/>
      <w:ind w:left="720"/>
      <w:contextualSpacing/>
    </w:pPr>
    <w:rPr>
      <w:rFonts w:ascii="Times New Roman" w:eastAsia="Calibri" w:hAnsi="Times New Roman"/>
      <w:szCs w:val="24"/>
    </w:rPr>
  </w:style>
</w:styles>
</file>

<file path=word/webSettings.xml><?xml version="1.0" encoding="utf-8"?>
<w:webSettings xmlns:r="http://schemas.openxmlformats.org/officeDocument/2006/relationships" xmlns:w="http://schemas.openxmlformats.org/wordprocessingml/2006/main">
  <w:divs>
    <w:div w:id="14767809">
      <w:bodyDiv w:val="1"/>
      <w:marLeft w:val="0"/>
      <w:marRight w:val="0"/>
      <w:marTop w:val="0"/>
      <w:marBottom w:val="0"/>
      <w:divBdr>
        <w:top w:val="none" w:sz="0" w:space="0" w:color="auto"/>
        <w:left w:val="none" w:sz="0" w:space="0" w:color="auto"/>
        <w:bottom w:val="none" w:sz="0" w:space="0" w:color="auto"/>
        <w:right w:val="none" w:sz="0" w:space="0" w:color="auto"/>
      </w:divBdr>
    </w:div>
    <w:div w:id="17705350">
      <w:bodyDiv w:val="1"/>
      <w:marLeft w:val="0"/>
      <w:marRight w:val="0"/>
      <w:marTop w:val="0"/>
      <w:marBottom w:val="0"/>
      <w:divBdr>
        <w:top w:val="none" w:sz="0" w:space="0" w:color="auto"/>
        <w:left w:val="none" w:sz="0" w:space="0" w:color="auto"/>
        <w:bottom w:val="none" w:sz="0" w:space="0" w:color="auto"/>
        <w:right w:val="none" w:sz="0" w:space="0" w:color="auto"/>
      </w:divBdr>
    </w:div>
    <w:div w:id="102579598">
      <w:bodyDiv w:val="1"/>
      <w:marLeft w:val="0"/>
      <w:marRight w:val="0"/>
      <w:marTop w:val="0"/>
      <w:marBottom w:val="0"/>
      <w:divBdr>
        <w:top w:val="none" w:sz="0" w:space="0" w:color="auto"/>
        <w:left w:val="none" w:sz="0" w:space="0" w:color="auto"/>
        <w:bottom w:val="none" w:sz="0" w:space="0" w:color="auto"/>
        <w:right w:val="none" w:sz="0" w:space="0" w:color="auto"/>
      </w:divBdr>
    </w:div>
    <w:div w:id="156383739">
      <w:bodyDiv w:val="1"/>
      <w:marLeft w:val="0"/>
      <w:marRight w:val="0"/>
      <w:marTop w:val="0"/>
      <w:marBottom w:val="0"/>
      <w:divBdr>
        <w:top w:val="none" w:sz="0" w:space="0" w:color="auto"/>
        <w:left w:val="none" w:sz="0" w:space="0" w:color="auto"/>
        <w:bottom w:val="none" w:sz="0" w:space="0" w:color="auto"/>
        <w:right w:val="none" w:sz="0" w:space="0" w:color="auto"/>
      </w:divBdr>
    </w:div>
    <w:div w:id="240411271">
      <w:bodyDiv w:val="1"/>
      <w:marLeft w:val="0"/>
      <w:marRight w:val="0"/>
      <w:marTop w:val="0"/>
      <w:marBottom w:val="0"/>
      <w:divBdr>
        <w:top w:val="none" w:sz="0" w:space="0" w:color="auto"/>
        <w:left w:val="none" w:sz="0" w:space="0" w:color="auto"/>
        <w:bottom w:val="none" w:sz="0" w:space="0" w:color="auto"/>
        <w:right w:val="none" w:sz="0" w:space="0" w:color="auto"/>
      </w:divBdr>
    </w:div>
    <w:div w:id="248121846">
      <w:bodyDiv w:val="1"/>
      <w:marLeft w:val="0"/>
      <w:marRight w:val="0"/>
      <w:marTop w:val="0"/>
      <w:marBottom w:val="0"/>
      <w:divBdr>
        <w:top w:val="none" w:sz="0" w:space="0" w:color="auto"/>
        <w:left w:val="none" w:sz="0" w:space="0" w:color="auto"/>
        <w:bottom w:val="none" w:sz="0" w:space="0" w:color="auto"/>
        <w:right w:val="none" w:sz="0" w:space="0" w:color="auto"/>
      </w:divBdr>
    </w:div>
    <w:div w:id="264920189">
      <w:bodyDiv w:val="1"/>
      <w:marLeft w:val="0"/>
      <w:marRight w:val="0"/>
      <w:marTop w:val="0"/>
      <w:marBottom w:val="0"/>
      <w:divBdr>
        <w:top w:val="none" w:sz="0" w:space="0" w:color="auto"/>
        <w:left w:val="none" w:sz="0" w:space="0" w:color="auto"/>
        <w:bottom w:val="none" w:sz="0" w:space="0" w:color="auto"/>
        <w:right w:val="none" w:sz="0" w:space="0" w:color="auto"/>
      </w:divBdr>
    </w:div>
    <w:div w:id="360323435">
      <w:bodyDiv w:val="1"/>
      <w:marLeft w:val="0"/>
      <w:marRight w:val="0"/>
      <w:marTop w:val="0"/>
      <w:marBottom w:val="0"/>
      <w:divBdr>
        <w:top w:val="none" w:sz="0" w:space="0" w:color="auto"/>
        <w:left w:val="none" w:sz="0" w:space="0" w:color="auto"/>
        <w:bottom w:val="none" w:sz="0" w:space="0" w:color="auto"/>
        <w:right w:val="none" w:sz="0" w:space="0" w:color="auto"/>
      </w:divBdr>
    </w:div>
    <w:div w:id="375276341">
      <w:bodyDiv w:val="1"/>
      <w:marLeft w:val="0"/>
      <w:marRight w:val="0"/>
      <w:marTop w:val="0"/>
      <w:marBottom w:val="0"/>
      <w:divBdr>
        <w:top w:val="none" w:sz="0" w:space="0" w:color="auto"/>
        <w:left w:val="none" w:sz="0" w:space="0" w:color="auto"/>
        <w:bottom w:val="none" w:sz="0" w:space="0" w:color="auto"/>
        <w:right w:val="none" w:sz="0" w:space="0" w:color="auto"/>
      </w:divBdr>
    </w:div>
    <w:div w:id="527302991">
      <w:bodyDiv w:val="1"/>
      <w:marLeft w:val="0"/>
      <w:marRight w:val="0"/>
      <w:marTop w:val="0"/>
      <w:marBottom w:val="0"/>
      <w:divBdr>
        <w:top w:val="none" w:sz="0" w:space="0" w:color="auto"/>
        <w:left w:val="none" w:sz="0" w:space="0" w:color="auto"/>
        <w:bottom w:val="none" w:sz="0" w:space="0" w:color="auto"/>
        <w:right w:val="none" w:sz="0" w:space="0" w:color="auto"/>
      </w:divBdr>
    </w:div>
    <w:div w:id="583034114">
      <w:bodyDiv w:val="1"/>
      <w:marLeft w:val="0"/>
      <w:marRight w:val="0"/>
      <w:marTop w:val="0"/>
      <w:marBottom w:val="0"/>
      <w:divBdr>
        <w:top w:val="none" w:sz="0" w:space="0" w:color="auto"/>
        <w:left w:val="none" w:sz="0" w:space="0" w:color="auto"/>
        <w:bottom w:val="none" w:sz="0" w:space="0" w:color="auto"/>
        <w:right w:val="none" w:sz="0" w:space="0" w:color="auto"/>
      </w:divBdr>
    </w:div>
    <w:div w:id="731930618">
      <w:bodyDiv w:val="1"/>
      <w:marLeft w:val="0"/>
      <w:marRight w:val="0"/>
      <w:marTop w:val="0"/>
      <w:marBottom w:val="0"/>
      <w:divBdr>
        <w:top w:val="none" w:sz="0" w:space="0" w:color="auto"/>
        <w:left w:val="none" w:sz="0" w:space="0" w:color="auto"/>
        <w:bottom w:val="none" w:sz="0" w:space="0" w:color="auto"/>
        <w:right w:val="none" w:sz="0" w:space="0" w:color="auto"/>
      </w:divBdr>
    </w:div>
    <w:div w:id="818036429">
      <w:bodyDiv w:val="1"/>
      <w:marLeft w:val="0"/>
      <w:marRight w:val="0"/>
      <w:marTop w:val="0"/>
      <w:marBottom w:val="0"/>
      <w:divBdr>
        <w:top w:val="none" w:sz="0" w:space="0" w:color="auto"/>
        <w:left w:val="none" w:sz="0" w:space="0" w:color="auto"/>
        <w:bottom w:val="none" w:sz="0" w:space="0" w:color="auto"/>
        <w:right w:val="none" w:sz="0" w:space="0" w:color="auto"/>
      </w:divBdr>
    </w:div>
    <w:div w:id="853687270">
      <w:bodyDiv w:val="1"/>
      <w:marLeft w:val="0"/>
      <w:marRight w:val="0"/>
      <w:marTop w:val="0"/>
      <w:marBottom w:val="0"/>
      <w:divBdr>
        <w:top w:val="none" w:sz="0" w:space="0" w:color="auto"/>
        <w:left w:val="none" w:sz="0" w:space="0" w:color="auto"/>
        <w:bottom w:val="none" w:sz="0" w:space="0" w:color="auto"/>
        <w:right w:val="none" w:sz="0" w:space="0" w:color="auto"/>
      </w:divBdr>
    </w:div>
    <w:div w:id="968781555">
      <w:bodyDiv w:val="1"/>
      <w:marLeft w:val="0"/>
      <w:marRight w:val="0"/>
      <w:marTop w:val="0"/>
      <w:marBottom w:val="0"/>
      <w:divBdr>
        <w:top w:val="none" w:sz="0" w:space="0" w:color="auto"/>
        <w:left w:val="none" w:sz="0" w:space="0" w:color="auto"/>
        <w:bottom w:val="none" w:sz="0" w:space="0" w:color="auto"/>
        <w:right w:val="none" w:sz="0" w:space="0" w:color="auto"/>
      </w:divBdr>
    </w:div>
    <w:div w:id="1156646356">
      <w:bodyDiv w:val="1"/>
      <w:marLeft w:val="0"/>
      <w:marRight w:val="0"/>
      <w:marTop w:val="0"/>
      <w:marBottom w:val="0"/>
      <w:divBdr>
        <w:top w:val="none" w:sz="0" w:space="0" w:color="auto"/>
        <w:left w:val="none" w:sz="0" w:space="0" w:color="auto"/>
        <w:bottom w:val="none" w:sz="0" w:space="0" w:color="auto"/>
        <w:right w:val="none" w:sz="0" w:space="0" w:color="auto"/>
      </w:divBdr>
    </w:div>
    <w:div w:id="1395734952">
      <w:bodyDiv w:val="1"/>
      <w:marLeft w:val="0"/>
      <w:marRight w:val="0"/>
      <w:marTop w:val="0"/>
      <w:marBottom w:val="0"/>
      <w:divBdr>
        <w:top w:val="none" w:sz="0" w:space="0" w:color="auto"/>
        <w:left w:val="none" w:sz="0" w:space="0" w:color="auto"/>
        <w:bottom w:val="none" w:sz="0" w:space="0" w:color="auto"/>
        <w:right w:val="none" w:sz="0" w:space="0" w:color="auto"/>
      </w:divBdr>
    </w:div>
    <w:div w:id="1442992432">
      <w:bodyDiv w:val="1"/>
      <w:marLeft w:val="0"/>
      <w:marRight w:val="0"/>
      <w:marTop w:val="0"/>
      <w:marBottom w:val="0"/>
      <w:divBdr>
        <w:top w:val="none" w:sz="0" w:space="0" w:color="auto"/>
        <w:left w:val="none" w:sz="0" w:space="0" w:color="auto"/>
        <w:bottom w:val="none" w:sz="0" w:space="0" w:color="auto"/>
        <w:right w:val="none" w:sz="0" w:space="0" w:color="auto"/>
      </w:divBdr>
      <w:divsChild>
        <w:div w:id="425002340">
          <w:marLeft w:val="0"/>
          <w:marRight w:val="0"/>
          <w:marTop w:val="0"/>
          <w:marBottom w:val="0"/>
          <w:divBdr>
            <w:top w:val="none" w:sz="0" w:space="0" w:color="auto"/>
            <w:left w:val="none" w:sz="0" w:space="0" w:color="auto"/>
            <w:bottom w:val="none" w:sz="0" w:space="0" w:color="auto"/>
            <w:right w:val="none" w:sz="0" w:space="0" w:color="auto"/>
          </w:divBdr>
        </w:div>
      </w:divsChild>
    </w:div>
    <w:div w:id="1638022985">
      <w:bodyDiv w:val="1"/>
      <w:marLeft w:val="0"/>
      <w:marRight w:val="0"/>
      <w:marTop w:val="0"/>
      <w:marBottom w:val="0"/>
      <w:divBdr>
        <w:top w:val="none" w:sz="0" w:space="0" w:color="auto"/>
        <w:left w:val="none" w:sz="0" w:space="0" w:color="auto"/>
        <w:bottom w:val="none" w:sz="0" w:space="0" w:color="auto"/>
        <w:right w:val="none" w:sz="0" w:space="0" w:color="auto"/>
      </w:divBdr>
    </w:div>
    <w:div w:id="1842309821">
      <w:bodyDiv w:val="1"/>
      <w:marLeft w:val="0"/>
      <w:marRight w:val="0"/>
      <w:marTop w:val="0"/>
      <w:marBottom w:val="0"/>
      <w:divBdr>
        <w:top w:val="none" w:sz="0" w:space="0" w:color="auto"/>
        <w:left w:val="none" w:sz="0" w:space="0" w:color="auto"/>
        <w:bottom w:val="none" w:sz="0" w:space="0" w:color="auto"/>
        <w:right w:val="none" w:sz="0" w:space="0" w:color="auto"/>
      </w:divBdr>
    </w:div>
    <w:div w:id="1987733238">
      <w:bodyDiv w:val="1"/>
      <w:marLeft w:val="0"/>
      <w:marRight w:val="0"/>
      <w:marTop w:val="0"/>
      <w:marBottom w:val="0"/>
      <w:divBdr>
        <w:top w:val="none" w:sz="0" w:space="0" w:color="auto"/>
        <w:left w:val="none" w:sz="0" w:space="0" w:color="auto"/>
        <w:bottom w:val="none" w:sz="0" w:space="0" w:color="auto"/>
        <w:right w:val="none" w:sz="0" w:space="0" w:color="auto"/>
      </w:divBdr>
    </w:div>
    <w:div w:id="2035812232">
      <w:bodyDiv w:val="1"/>
      <w:marLeft w:val="0"/>
      <w:marRight w:val="0"/>
      <w:marTop w:val="0"/>
      <w:marBottom w:val="0"/>
      <w:divBdr>
        <w:top w:val="none" w:sz="0" w:space="0" w:color="auto"/>
        <w:left w:val="none" w:sz="0" w:space="0" w:color="auto"/>
        <w:bottom w:val="none" w:sz="0" w:space="0" w:color="auto"/>
        <w:right w:val="none" w:sz="0" w:space="0" w:color="auto"/>
      </w:divBdr>
      <w:divsChild>
        <w:div w:id="345445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doa.virginia.gov/Payroll/Payroll_Main.cf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www.doa.virginia.gov/Payroll/Payroll_Main.cfm" TargetMode="External"/><Relationship Id="rId2" Type="http://schemas.openxmlformats.org/officeDocument/2006/relationships/styles" Target="styles.xml"/><Relationship Id="rId16" Type="http://schemas.openxmlformats.org/officeDocument/2006/relationships/hyperlink" Target="https://solutions.virginia.gov/pbreports/rdPage.aspx?rdReport=COA_SubObject&amp;ShowWebLink=Tru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pb.virginia.gov/budget/budget.cf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pb.virginia.gov/forms/20140626-1/DeficitProvisionAcknowledgementFor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4574</Words>
  <Characters>26984</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May 15, 1997</vt:lpstr>
    </vt:vector>
  </TitlesOfParts>
  <Company>Virginia IT Infrastructure Partnership</Company>
  <LinksUpToDate>false</LinksUpToDate>
  <CharactersWithSpaces>31496</CharactersWithSpaces>
  <SharedDoc>false</SharedDoc>
  <HLinks>
    <vt:vector size="36" baseType="variant">
      <vt:variant>
        <vt:i4>1769528</vt:i4>
      </vt:variant>
      <vt:variant>
        <vt:i4>32</vt:i4>
      </vt:variant>
      <vt:variant>
        <vt:i4>0</vt:i4>
      </vt:variant>
      <vt:variant>
        <vt:i4>5</vt:i4>
      </vt:variant>
      <vt:variant>
        <vt:lpwstr/>
      </vt:variant>
      <vt:variant>
        <vt:lpwstr>_Toc102895216</vt:lpwstr>
      </vt:variant>
      <vt:variant>
        <vt:i4>1769528</vt:i4>
      </vt:variant>
      <vt:variant>
        <vt:i4>26</vt:i4>
      </vt:variant>
      <vt:variant>
        <vt:i4>0</vt:i4>
      </vt:variant>
      <vt:variant>
        <vt:i4>5</vt:i4>
      </vt:variant>
      <vt:variant>
        <vt:lpwstr/>
      </vt:variant>
      <vt:variant>
        <vt:lpwstr>_Toc102895212</vt:lpwstr>
      </vt:variant>
      <vt:variant>
        <vt:i4>1703992</vt:i4>
      </vt:variant>
      <vt:variant>
        <vt:i4>20</vt:i4>
      </vt:variant>
      <vt:variant>
        <vt:i4>0</vt:i4>
      </vt:variant>
      <vt:variant>
        <vt:i4>5</vt:i4>
      </vt:variant>
      <vt:variant>
        <vt:lpwstr/>
      </vt:variant>
      <vt:variant>
        <vt:lpwstr>_Toc102895208</vt:lpwstr>
      </vt:variant>
      <vt:variant>
        <vt:i4>1703992</vt:i4>
      </vt:variant>
      <vt:variant>
        <vt:i4>14</vt:i4>
      </vt:variant>
      <vt:variant>
        <vt:i4>0</vt:i4>
      </vt:variant>
      <vt:variant>
        <vt:i4>5</vt:i4>
      </vt:variant>
      <vt:variant>
        <vt:lpwstr/>
      </vt:variant>
      <vt:variant>
        <vt:lpwstr>_Toc102895207</vt:lpwstr>
      </vt:variant>
      <vt:variant>
        <vt:i4>1703992</vt:i4>
      </vt:variant>
      <vt:variant>
        <vt:i4>8</vt:i4>
      </vt:variant>
      <vt:variant>
        <vt:i4>0</vt:i4>
      </vt:variant>
      <vt:variant>
        <vt:i4>5</vt:i4>
      </vt:variant>
      <vt:variant>
        <vt:lpwstr/>
      </vt:variant>
      <vt:variant>
        <vt:lpwstr>_Toc102895206</vt:lpwstr>
      </vt:variant>
      <vt:variant>
        <vt:i4>1703992</vt:i4>
      </vt:variant>
      <vt:variant>
        <vt:i4>2</vt:i4>
      </vt:variant>
      <vt:variant>
        <vt:i4>0</vt:i4>
      </vt:variant>
      <vt:variant>
        <vt:i4>5</vt:i4>
      </vt:variant>
      <vt:variant>
        <vt:lpwstr/>
      </vt:variant>
      <vt:variant>
        <vt:lpwstr>_Toc102895203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15, 1997</dc:title>
  <dc:creator>Al Kruschwitz</dc:creator>
  <cp:lastModifiedBy>hlj63005</cp:lastModifiedBy>
  <cp:revision>3</cp:revision>
  <cp:lastPrinted>2014-06-26T13:30:00Z</cp:lastPrinted>
  <dcterms:created xsi:type="dcterms:W3CDTF">2014-06-26T14:41:00Z</dcterms:created>
  <dcterms:modified xsi:type="dcterms:W3CDTF">2014-07-01T20:51:00Z</dcterms:modified>
</cp:coreProperties>
</file>